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8145A" w14:textId="56A7C22D" w:rsidR="00CA474D" w:rsidRDefault="00CA474D" w:rsidP="00CA474D">
      <w:pPr>
        <w:tabs>
          <w:tab w:val="left" w:pos="284"/>
        </w:tabs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</w:pPr>
      <w:r w:rsidRPr="00CA474D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>Pirkimo sąlygų 1 priedas</w:t>
      </w:r>
    </w:p>
    <w:p w14:paraId="7D03DDFA" w14:textId="77777777" w:rsidR="00CA474D" w:rsidRPr="00CA474D" w:rsidRDefault="00CA474D" w:rsidP="00CA474D">
      <w:pPr>
        <w:tabs>
          <w:tab w:val="left" w:pos="284"/>
        </w:tabs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</w:pPr>
    </w:p>
    <w:p w14:paraId="79F32416" w14:textId="53BCDE46" w:rsidR="006A057A" w:rsidRDefault="006A057A" w:rsidP="003A706B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lt-LT"/>
          <w14:ligatures w14:val="none"/>
        </w:rPr>
      </w:pPr>
      <w:r w:rsidRPr="006A057A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lt-LT"/>
          <w14:ligatures w14:val="none"/>
        </w:rPr>
        <w:t>TECHNINĖ SPECIFIKACIJA (PASLAUG</w:t>
      </w:r>
      <w:r w:rsidRPr="00864AE6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lt-LT"/>
          <w14:ligatures w14:val="none"/>
        </w:rPr>
        <w:t>Ų PIRKIMAS)</w:t>
      </w:r>
    </w:p>
    <w:p w14:paraId="07F388AE" w14:textId="77777777" w:rsidR="003A706B" w:rsidRPr="00864AE6" w:rsidRDefault="003A706B" w:rsidP="0042261B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lt-LT"/>
          <w14:ligatures w14:val="none"/>
        </w:rPr>
      </w:pPr>
    </w:p>
    <w:p w14:paraId="405E5C44" w14:textId="77777777" w:rsidR="006A057A" w:rsidRPr="00864AE6" w:rsidRDefault="006A057A" w:rsidP="0042261B">
      <w:pPr>
        <w:pBdr>
          <w:top w:val="single" w:sz="4" w:space="1" w:color="auto"/>
          <w:bottom w:val="single" w:sz="4" w:space="1" w:color="auto"/>
        </w:pBdr>
        <w:shd w:val="clear" w:color="auto" w:fill="DEEAF6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lt-LT"/>
          <w14:ligatures w14:val="none"/>
        </w:rPr>
      </w:pPr>
      <w:r w:rsidRPr="00864AE6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lt-LT"/>
          <w14:ligatures w14:val="none"/>
        </w:rPr>
        <w:t>I DALIS. PIRKIMO OBJEKTO APRAŠYMAS</w:t>
      </w:r>
    </w:p>
    <w:p w14:paraId="7F068274" w14:textId="77777777" w:rsidR="006A057A" w:rsidRPr="00864AE6" w:rsidRDefault="006A057A" w:rsidP="0042261B">
      <w:pPr>
        <w:numPr>
          <w:ilvl w:val="0"/>
          <w:numId w:val="5"/>
        </w:numPr>
        <w:pBdr>
          <w:bottom w:val="single" w:sz="4" w:space="1" w:color="auto"/>
        </w:pBdr>
        <w:tabs>
          <w:tab w:val="left" w:pos="567"/>
        </w:tabs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lt-LT"/>
          <w14:ligatures w14:val="none"/>
        </w:rPr>
      </w:pPr>
      <w:r w:rsidRPr="00864AE6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lt-LT"/>
          <w14:ligatures w14:val="none"/>
        </w:rPr>
        <w:t>SĄVOKOS IR SUTRUMPINIMAI</w:t>
      </w:r>
    </w:p>
    <w:p w14:paraId="37C78F9B" w14:textId="36DEF901" w:rsidR="006A057A" w:rsidRPr="00864AE6" w:rsidRDefault="006A057A" w:rsidP="0042261B">
      <w:pPr>
        <w:numPr>
          <w:ilvl w:val="1"/>
          <w:numId w:val="5"/>
        </w:numPr>
        <w:tabs>
          <w:tab w:val="left" w:pos="284"/>
        </w:tabs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</w:pPr>
      <w:r w:rsidRPr="0042261B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lt-LT"/>
          <w14:ligatures w14:val="none"/>
        </w:rPr>
        <w:t>Perkančioji organizacija</w:t>
      </w:r>
      <w:r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 xml:space="preserve"> – </w:t>
      </w:r>
      <w:r w:rsidR="009C13F0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>akcinė bendrovė</w:t>
      </w:r>
      <w:r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 xml:space="preserve"> „Regitra“.</w:t>
      </w:r>
    </w:p>
    <w:p w14:paraId="22E3D46D" w14:textId="5CC4AB5B" w:rsidR="006A057A" w:rsidRPr="00501951" w:rsidRDefault="006A057A" w:rsidP="00501951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</w:pPr>
      <w:r w:rsidRPr="0042261B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lt-LT"/>
          <w14:ligatures w14:val="none"/>
        </w:rPr>
        <w:t>Tiekėjas</w:t>
      </w:r>
      <w:r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 xml:space="preserve"> – ūkio subjektas – fizinis asmuo, privatusis juridinis asmuo, viešasis juridinis asmuo, kitos organizacijos ir jų padaliniai ar tokių asmenų grupė, su kuriuo Perkančioji organizacija sudaro </w:t>
      </w:r>
      <w:r w:rsidR="00E06EE9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 xml:space="preserve">viešojo pirkimo–pardavimo </w:t>
      </w:r>
      <w:r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 xml:space="preserve">sutartį </w:t>
      </w:r>
      <w:r w:rsidR="000467FF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 xml:space="preserve">(toliau – Sutartis) dėl pirkimo objekto </w:t>
      </w:r>
      <w:r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 xml:space="preserve">ir kuris po </w:t>
      </w:r>
      <w:r w:rsidR="000467FF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>S</w:t>
      </w:r>
      <w:r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>utarties sudarymo vadinamas Paslaugų teikėju.</w:t>
      </w:r>
    </w:p>
    <w:p w14:paraId="2680BBC0" w14:textId="77777777" w:rsidR="006A057A" w:rsidRPr="00864AE6" w:rsidRDefault="006A057A" w:rsidP="0042261B">
      <w:pPr>
        <w:numPr>
          <w:ilvl w:val="0"/>
          <w:numId w:val="5"/>
        </w:numPr>
        <w:pBdr>
          <w:top w:val="single" w:sz="4" w:space="1" w:color="auto"/>
          <w:bottom w:val="single" w:sz="4" w:space="1" w:color="auto"/>
        </w:pBdr>
        <w:tabs>
          <w:tab w:val="left" w:pos="284"/>
        </w:tabs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lt-LT"/>
          <w14:ligatures w14:val="none"/>
        </w:rPr>
      </w:pPr>
      <w:r w:rsidRPr="00864AE6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lt-LT"/>
          <w14:ligatures w14:val="none"/>
        </w:rPr>
        <w:t>PIRKIMO OBJEKTAS</w:t>
      </w:r>
    </w:p>
    <w:p w14:paraId="6D3B13D9" w14:textId="3C2AF71D" w:rsidR="006A057A" w:rsidRPr="00864AE6" w:rsidRDefault="00237BBF" w:rsidP="0042261B">
      <w:pPr>
        <w:numPr>
          <w:ilvl w:val="1"/>
          <w:numId w:val="5"/>
        </w:numPr>
        <w:tabs>
          <w:tab w:val="left" w:pos="284"/>
        </w:tabs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</w:pPr>
      <w:r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 xml:space="preserve">Perkančiosios organizacijos </w:t>
      </w:r>
      <w:r w:rsidR="003F6AB5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>turim</w:t>
      </w:r>
      <w:r w:rsidR="008C40AA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>ų</w:t>
      </w:r>
      <w:r w:rsidR="003F6AB5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 xml:space="preserve"> p</w:t>
      </w:r>
      <w:r w:rsidR="00FB68A9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 xml:space="preserve">rograminės įrangos </w:t>
      </w:r>
      <w:r w:rsidR="00AE238D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>„</w:t>
      </w:r>
      <w:proofErr w:type="spellStart"/>
      <w:r w:rsidR="00FB68A9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>Oracle</w:t>
      </w:r>
      <w:proofErr w:type="spellEnd"/>
      <w:r w:rsidR="00AE238D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>“</w:t>
      </w:r>
      <w:r w:rsidR="00FB68A9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 xml:space="preserve"> </w:t>
      </w:r>
      <w:r w:rsidR="004439FC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 xml:space="preserve">(toliau – programinė įranga) </w:t>
      </w:r>
      <w:r w:rsidR="00D44270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>licencijų (toliau – licencij</w:t>
      </w:r>
      <w:r w:rsidR="00C50BD9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>a (-</w:t>
      </w:r>
      <w:proofErr w:type="spellStart"/>
      <w:r w:rsidR="00D44270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>os</w:t>
      </w:r>
      <w:proofErr w:type="spellEnd"/>
      <w:r w:rsidR="00D44270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>)</w:t>
      </w:r>
      <w:r w:rsidR="00C50BD9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>)</w:t>
      </w:r>
      <w:r w:rsidR="00D44270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 xml:space="preserve"> </w:t>
      </w:r>
      <w:r w:rsidR="00FB68A9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>palaikymo paslaugos</w:t>
      </w:r>
      <w:r w:rsidR="00474D14" w:rsidRPr="00BF1768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 xml:space="preserve"> (toliau </w:t>
      </w:r>
      <w:r w:rsidR="00474D14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>–</w:t>
      </w:r>
      <w:r w:rsidR="00B62FA1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 xml:space="preserve"> </w:t>
      </w:r>
      <w:r w:rsidR="003E2381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>P</w:t>
      </w:r>
      <w:r w:rsidR="00474D14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>aslaugos)</w:t>
      </w:r>
      <w:r w:rsidR="00984C38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>, atitinkančios šioje techninėje specifikacijoje</w:t>
      </w:r>
      <w:r w:rsidR="00670F76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 xml:space="preserve"> (toliau – </w:t>
      </w:r>
      <w:r w:rsidR="00593F6C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>T</w:t>
      </w:r>
      <w:r w:rsidR="00670F76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>echninė specifikacija) nustatytus reikalavimus</w:t>
      </w:r>
      <w:r w:rsidR="00474D14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>.</w:t>
      </w:r>
    </w:p>
    <w:p w14:paraId="499908C6" w14:textId="7BA0239A" w:rsidR="006A057A" w:rsidRPr="00501951" w:rsidRDefault="006A057A" w:rsidP="0042261B">
      <w:pPr>
        <w:numPr>
          <w:ilvl w:val="1"/>
          <w:numId w:val="5"/>
        </w:numPr>
        <w:tabs>
          <w:tab w:val="left" w:pos="284"/>
        </w:tabs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</w:pPr>
      <w:r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 xml:space="preserve">BVPŽ KODAS: pagrindinis – </w:t>
      </w:r>
      <w:r w:rsidR="00732963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>72261000-2</w:t>
      </w:r>
      <w:r w:rsidR="006E06E9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 xml:space="preserve"> Programinės įrangos palaikymo paslaugos.</w:t>
      </w:r>
    </w:p>
    <w:p w14:paraId="0EF2641B" w14:textId="77777777" w:rsidR="006A057A" w:rsidRPr="00864AE6" w:rsidRDefault="006A057A" w:rsidP="0016535B">
      <w:pPr>
        <w:numPr>
          <w:ilvl w:val="0"/>
          <w:numId w:val="5"/>
        </w:numPr>
        <w:pBdr>
          <w:top w:val="single" w:sz="4" w:space="1" w:color="auto"/>
          <w:bottom w:val="single" w:sz="4" w:space="1" w:color="auto"/>
        </w:pBdr>
        <w:tabs>
          <w:tab w:val="left" w:pos="709"/>
        </w:tabs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lt-LT"/>
          <w14:ligatures w14:val="none"/>
        </w:rPr>
      </w:pPr>
      <w:r w:rsidRPr="00864AE6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lt-LT"/>
          <w14:ligatures w14:val="none"/>
        </w:rPr>
        <w:t>KIEKIS (APIMTIS)</w:t>
      </w:r>
    </w:p>
    <w:p w14:paraId="5B5C843B" w14:textId="77777777" w:rsidR="006A057A" w:rsidRPr="0042261B" w:rsidRDefault="006A057A" w:rsidP="0016535B">
      <w:pPr>
        <w:numPr>
          <w:ilvl w:val="0"/>
          <w:numId w:val="6"/>
        </w:numPr>
        <w:tabs>
          <w:tab w:val="left" w:pos="567"/>
        </w:tabs>
        <w:spacing w:after="0" w:line="240" w:lineRule="auto"/>
        <w:ind w:hanging="1713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lt-LT" w:eastAsia="lt-LT"/>
          <w14:ligatures w14:val="none"/>
        </w:rPr>
      </w:pPr>
      <w:r w:rsidRPr="0042261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lt-LT" w:eastAsia="lt-LT"/>
          <w14:ligatures w14:val="none"/>
        </w:rPr>
        <w:t>Kiekis (apimtis):</w:t>
      </w:r>
    </w:p>
    <w:tbl>
      <w:tblPr>
        <w:tblW w:w="1035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"/>
        <w:gridCol w:w="2295"/>
        <w:gridCol w:w="1276"/>
        <w:gridCol w:w="1701"/>
        <w:gridCol w:w="1134"/>
        <w:gridCol w:w="1417"/>
        <w:gridCol w:w="993"/>
        <w:gridCol w:w="992"/>
      </w:tblGrid>
      <w:tr w:rsidR="00D87619" w:rsidRPr="00D87619" w14:paraId="668EE884" w14:textId="77777777" w:rsidTr="00455B79">
        <w:trPr>
          <w:trHeight w:val="72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95E778" w14:textId="4DA138AB" w:rsidR="00386BB3" w:rsidRPr="00D87619" w:rsidRDefault="00386BB3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D87619">
              <w:rPr>
                <w:rFonts w:ascii="Times New Roman" w:hAnsi="Times New Roman" w:cs="Times New Roman"/>
                <w:b/>
                <w:bCs/>
                <w:lang w:val="lt-LT"/>
              </w:rPr>
              <w:t>Eil. Nr.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DDB38C" w14:textId="37C0EFC3" w:rsidR="00386BB3" w:rsidRPr="00D87619" w:rsidRDefault="00386BB3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D87619">
              <w:rPr>
                <w:rFonts w:ascii="Times New Roman" w:hAnsi="Times New Roman" w:cs="Times New Roman"/>
                <w:b/>
                <w:bCs/>
                <w:lang w:val="lt-LT"/>
              </w:rPr>
              <w:t>Programinės įrangos licencijos, kuriai reikalingas palaikymas, pavadinimas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C9256" w14:textId="00B414B6" w:rsidR="00386BB3" w:rsidRPr="00D87619" w:rsidRDefault="009E32D6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lt-LT"/>
              </w:rPr>
            </w:pPr>
            <w:bookmarkStart w:id="0" w:name="_Hlk182378727"/>
            <w:r w:rsidRPr="007012E1">
              <w:rPr>
                <w:rFonts w:ascii="Times New Roman" w:hAnsi="Times New Roman" w:cs="Times New Roman"/>
                <w:b/>
                <w:bCs/>
                <w:lang w:val="lt-LT"/>
              </w:rPr>
              <w:t xml:space="preserve">Paslaugų teikimo laikotarpio </w:t>
            </w:r>
            <w:bookmarkEnd w:id="0"/>
            <w:r w:rsidRPr="007012E1">
              <w:rPr>
                <w:rFonts w:ascii="Times New Roman" w:hAnsi="Times New Roman" w:cs="Times New Roman"/>
                <w:b/>
                <w:bCs/>
                <w:lang w:val="lt-LT"/>
              </w:rPr>
              <w:t>Nr.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3DCA3D" w14:textId="309FFB68" w:rsidR="00386BB3" w:rsidRPr="00D87619" w:rsidRDefault="00386BB3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D87619">
              <w:rPr>
                <w:rFonts w:ascii="Times New Roman" w:hAnsi="Times New Roman" w:cs="Times New Roman"/>
                <w:b/>
                <w:bCs/>
                <w:lang w:val="lt-LT"/>
              </w:rPr>
              <w:t>Paslaugų teikimo laikotarpiai (pradžia-pabaiga)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8471D6" w14:textId="0B197CDC" w:rsidR="00386BB3" w:rsidRPr="00D87619" w:rsidRDefault="00386BB3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D87619">
              <w:rPr>
                <w:rFonts w:ascii="Times New Roman" w:hAnsi="Times New Roman" w:cs="Times New Roman"/>
                <w:b/>
                <w:bCs/>
                <w:lang w:val="lt-LT"/>
              </w:rPr>
              <w:t>CSI Numeris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0FD2E5" w14:textId="6BD7A869" w:rsidR="00386BB3" w:rsidRPr="00D87619" w:rsidRDefault="00386BB3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D87619">
              <w:rPr>
                <w:rFonts w:ascii="Times New Roman" w:hAnsi="Times New Roman" w:cs="Times New Roman"/>
                <w:b/>
                <w:bCs/>
                <w:lang w:val="lt-LT"/>
              </w:rPr>
              <w:t>Informacinis numeris (</w:t>
            </w:r>
            <w:proofErr w:type="spellStart"/>
            <w:r w:rsidRPr="00D87619">
              <w:rPr>
                <w:rFonts w:ascii="Times New Roman" w:hAnsi="Times New Roman" w:cs="Times New Roman"/>
                <w:b/>
                <w:bCs/>
                <w:lang w:val="lt-LT"/>
              </w:rPr>
              <w:t>reference</w:t>
            </w:r>
            <w:proofErr w:type="spellEnd"/>
            <w:r w:rsidRPr="00D87619">
              <w:rPr>
                <w:rFonts w:ascii="Times New Roman" w:hAnsi="Times New Roman" w:cs="Times New Roman"/>
                <w:b/>
                <w:bCs/>
                <w:lang w:val="lt-LT"/>
              </w:rPr>
              <w:t xml:space="preserve"> </w:t>
            </w:r>
            <w:proofErr w:type="spellStart"/>
            <w:r w:rsidRPr="00D87619">
              <w:rPr>
                <w:rFonts w:ascii="Times New Roman" w:hAnsi="Times New Roman" w:cs="Times New Roman"/>
                <w:b/>
                <w:bCs/>
                <w:lang w:val="lt-LT"/>
              </w:rPr>
              <w:t>number</w:t>
            </w:r>
            <w:proofErr w:type="spellEnd"/>
            <w:r w:rsidRPr="00D87619">
              <w:rPr>
                <w:rFonts w:ascii="Times New Roman" w:hAnsi="Times New Roman" w:cs="Times New Roman"/>
                <w:b/>
                <w:bCs/>
                <w:lang w:val="lt-LT"/>
              </w:rPr>
              <w:t>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1A5EDB" w14:textId="4B64AF97" w:rsidR="00386BB3" w:rsidRPr="00D87619" w:rsidRDefault="00386BB3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D87619">
              <w:rPr>
                <w:rFonts w:ascii="Times New Roman" w:hAnsi="Times New Roman" w:cs="Times New Roman"/>
                <w:b/>
                <w:bCs/>
                <w:lang w:val="lt-LT"/>
              </w:rPr>
              <w:t>Licencijų kiekis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B5ABDC" w14:textId="70B11FF9" w:rsidR="00386BB3" w:rsidRPr="00D87619" w:rsidRDefault="00386BB3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D87619">
              <w:rPr>
                <w:rFonts w:ascii="Times New Roman" w:hAnsi="Times New Roman" w:cs="Times New Roman"/>
                <w:b/>
                <w:bCs/>
                <w:lang w:val="lt-LT"/>
              </w:rPr>
              <w:t>Licencijos tipas</w:t>
            </w:r>
          </w:p>
        </w:tc>
      </w:tr>
      <w:tr w:rsidR="00D87619" w:rsidRPr="00D87619" w14:paraId="6F36A809" w14:textId="77777777" w:rsidTr="00455B79">
        <w:trPr>
          <w:trHeight w:val="18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7B08BE" w14:textId="46403506" w:rsidR="00386BB3" w:rsidRPr="00D87619" w:rsidRDefault="00386BB3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61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0B0D01" w14:textId="283F0631" w:rsidR="00386BB3" w:rsidRPr="00D87619" w:rsidRDefault="00386BB3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619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39CEFE" w14:textId="149EC581" w:rsidR="00386BB3" w:rsidRPr="00D87619" w:rsidRDefault="009562AB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7619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FED11B" w14:textId="21E6C6CD" w:rsidR="00386BB3" w:rsidRPr="00D87619" w:rsidRDefault="00D87619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A8C875" w14:textId="2D65779F" w:rsidR="00386BB3" w:rsidRPr="00D87619" w:rsidRDefault="00D87619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1F0D90" w14:textId="28AADDBD" w:rsidR="00386BB3" w:rsidRPr="00D87619" w:rsidRDefault="00D87619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583E14" w14:textId="3E09605F" w:rsidR="00386BB3" w:rsidRPr="00D87619" w:rsidRDefault="00D87619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526D44" w14:textId="08C2E5A5" w:rsidR="00386BB3" w:rsidRPr="00D87619" w:rsidRDefault="00D87619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D87619" w:rsidRPr="00D87619" w14:paraId="55A74305" w14:textId="77777777" w:rsidTr="00455B79">
        <w:trPr>
          <w:trHeight w:val="300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95569" w14:textId="73BEE59B" w:rsidR="00386BB3" w:rsidRPr="00D87619" w:rsidRDefault="00386BB3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61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E659A" w14:textId="5AF24AAA" w:rsidR="00386BB3" w:rsidRPr="00D87619" w:rsidRDefault="00386BB3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619">
              <w:rPr>
                <w:rFonts w:ascii="Times New Roman" w:eastAsia="Segoe UI" w:hAnsi="Times New Roman" w:cs="Times New Roman"/>
              </w:rPr>
              <w:t>Oracle Database Standard Edition - Processor Perpetual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47794" w14:textId="7BA7A9D2" w:rsidR="00386BB3" w:rsidRPr="00D87619" w:rsidRDefault="00C77457" w:rsidP="00D876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619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C9139" w14:textId="4C6338B8" w:rsidR="00386BB3" w:rsidRPr="00D87619" w:rsidRDefault="00386BB3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619">
              <w:rPr>
                <w:rFonts w:ascii="Times New Roman" w:hAnsi="Times New Roman" w:cs="Times New Roman"/>
              </w:rPr>
              <w:t xml:space="preserve">Nuo </w:t>
            </w:r>
            <w:r w:rsidRPr="00097256">
              <w:rPr>
                <w:rFonts w:ascii="Times New Roman" w:hAnsi="Times New Roman" w:cs="Times New Roman"/>
                <w:lang w:val="lt-LT"/>
              </w:rPr>
              <w:t>Sutarties</w:t>
            </w:r>
            <w:r w:rsidRPr="00D87619">
              <w:rPr>
                <w:rFonts w:ascii="Times New Roman" w:hAnsi="Times New Roman" w:cs="Times New Roman"/>
              </w:rPr>
              <w:t xml:space="preserve"> </w:t>
            </w:r>
            <w:r w:rsidRPr="00D87619">
              <w:rPr>
                <w:rFonts w:ascii="Times New Roman" w:hAnsi="Times New Roman" w:cs="Times New Roman"/>
                <w:lang w:val="lt-LT"/>
              </w:rPr>
              <w:t>įsigaliojimo*</w:t>
            </w:r>
            <w:r w:rsidR="00097256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D87619">
              <w:rPr>
                <w:rFonts w:ascii="Times New Roman" w:hAnsi="Times New Roman" w:cs="Times New Roman"/>
              </w:rPr>
              <w:t>–</w:t>
            </w:r>
            <w:r w:rsidR="00097256">
              <w:rPr>
                <w:rFonts w:ascii="Times New Roman" w:hAnsi="Times New Roman" w:cs="Times New Roman"/>
              </w:rPr>
              <w:t xml:space="preserve"> </w:t>
            </w:r>
            <w:r w:rsidRPr="00D87619">
              <w:rPr>
                <w:rFonts w:ascii="Times New Roman" w:hAnsi="Times New Roman" w:cs="Times New Roman"/>
              </w:rPr>
              <w:t>2025-11-09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C0E1A" w14:textId="1E0EEE41" w:rsidR="00386BB3" w:rsidRPr="00D87619" w:rsidRDefault="00386BB3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619">
              <w:rPr>
                <w:rFonts w:ascii="Times New Roman" w:eastAsia="Segoe UI" w:hAnsi="Times New Roman" w:cs="Times New Roman"/>
              </w:rPr>
              <w:t>10389382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5BF7A" w14:textId="286E2C76" w:rsidR="00386BB3" w:rsidRPr="00D87619" w:rsidRDefault="00386BB3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619">
              <w:rPr>
                <w:rFonts w:ascii="Times New Roman" w:eastAsia="Segoe UI" w:hAnsi="Times New Roman" w:cs="Times New Roman"/>
              </w:rPr>
              <w:t>36398367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A8D4" w14:textId="1C1A5AC4" w:rsidR="00386BB3" w:rsidRPr="00D87619" w:rsidRDefault="00386BB3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6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8A03" w14:textId="25AC7473" w:rsidR="00386BB3" w:rsidRPr="00D87619" w:rsidRDefault="00386BB3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619">
              <w:rPr>
                <w:rFonts w:ascii="Times New Roman" w:hAnsi="Times New Roman" w:cs="Times New Roman"/>
              </w:rPr>
              <w:t>FULL USE</w:t>
            </w:r>
          </w:p>
        </w:tc>
      </w:tr>
      <w:tr w:rsidR="00D87619" w:rsidRPr="00D87619" w14:paraId="30085294" w14:textId="77777777" w:rsidTr="00455B79">
        <w:trPr>
          <w:trHeight w:val="55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2FDEC" w14:textId="77777777" w:rsidR="00386BB3" w:rsidRPr="00D87619" w:rsidRDefault="00386BB3" w:rsidP="00B96A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3F7D0" w14:textId="77777777" w:rsidR="00386BB3" w:rsidRPr="00D87619" w:rsidRDefault="00386BB3" w:rsidP="00B96A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4A4A1" w14:textId="09BE86BB" w:rsidR="00386BB3" w:rsidRPr="00D87619" w:rsidRDefault="00C77457" w:rsidP="00D876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619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6BF6D" w14:textId="1583D279" w:rsidR="00386BB3" w:rsidRPr="00D87619" w:rsidRDefault="00386BB3" w:rsidP="00B96A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5DC1F6EC">
              <w:rPr>
                <w:rFonts w:ascii="Times New Roman" w:hAnsi="Times New Roman" w:cs="Times New Roman"/>
              </w:rPr>
              <w:t>2025-11-10</w:t>
            </w:r>
            <w:r w:rsidR="526C8409" w:rsidRPr="5DC1F6EC">
              <w:rPr>
                <w:rFonts w:ascii="Times New Roman" w:hAnsi="Times New Roman" w:cs="Times New Roman"/>
              </w:rPr>
              <w:t xml:space="preserve"> </w:t>
            </w:r>
            <w:r w:rsidRPr="5DC1F6EC">
              <w:rPr>
                <w:rFonts w:ascii="Times New Roman" w:hAnsi="Times New Roman" w:cs="Times New Roman"/>
              </w:rPr>
              <w:t>–</w:t>
            </w:r>
            <w:r w:rsidR="00097256">
              <w:rPr>
                <w:rFonts w:ascii="Times New Roman" w:hAnsi="Times New Roman" w:cs="Times New Roman"/>
              </w:rPr>
              <w:t xml:space="preserve"> </w:t>
            </w:r>
            <w:r w:rsidRPr="5DC1F6EC">
              <w:rPr>
                <w:rFonts w:ascii="Times New Roman" w:hAnsi="Times New Roman" w:cs="Times New Roman"/>
              </w:rPr>
              <w:t>2026-11-09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A2C5" w14:textId="77777777" w:rsidR="00386BB3" w:rsidRPr="00D87619" w:rsidRDefault="00386BB3" w:rsidP="00B96A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3482B" w14:textId="77777777" w:rsidR="00386BB3" w:rsidRPr="00D87619" w:rsidRDefault="00386BB3" w:rsidP="00B96A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462FA" w14:textId="77777777" w:rsidR="00386BB3" w:rsidRPr="00D87619" w:rsidRDefault="00386BB3" w:rsidP="00B96A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5E3FD" w14:textId="77777777" w:rsidR="00386BB3" w:rsidRPr="00D87619" w:rsidRDefault="00386BB3" w:rsidP="00B96A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619" w:rsidRPr="00D87619" w14:paraId="3A65F180" w14:textId="77777777" w:rsidTr="00455B79">
        <w:trPr>
          <w:trHeight w:val="300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91997" w14:textId="6996F2BE" w:rsidR="00386BB3" w:rsidRPr="00D87619" w:rsidRDefault="00386BB3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61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7AF2B" w14:textId="316431EF" w:rsidR="00386BB3" w:rsidRPr="00D87619" w:rsidRDefault="00386BB3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619">
              <w:rPr>
                <w:rFonts w:ascii="Times New Roman" w:eastAsia="Segoe UI" w:hAnsi="Times New Roman" w:cs="Times New Roman"/>
              </w:rPr>
              <w:t>Oracle Database Standard Edition - Processor Perpetual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E4CE" w14:textId="76C3C171" w:rsidR="00386BB3" w:rsidRPr="00D87619" w:rsidRDefault="00C77457" w:rsidP="00D876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619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7BB05" w14:textId="6EAC4928" w:rsidR="00386BB3" w:rsidRPr="00097256" w:rsidRDefault="00386BB3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97256">
              <w:rPr>
                <w:rFonts w:ascii="Times New Roman" w:hAnsi="Times New Roman" w:cs="Times New Roman"/>
                <w:lang w:val="lt-LT"/>
              </w:rPr>
              <w:t>Nuo Sutarties įsigaliojimo*</w:t>
            </w:r>
            <w:r w:rsidR="00097256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097256">
              <w:rPr>
                <w:rFonts w:ascii="Times New Roman" w:hAnsi="Times New Roman" w:cs="Times New Roman"/>
                <w:lang w:val="lt-LT"/>
              </w:rPr>
              <w:t>–</w:t>
            </w:r>
            <w:r w:rsidR="00097256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097256">
              <w:rPr>
                <w:rFonts w:ascii="Times New Roman" w:hAnsi="Times New Roman" w:cs="Times New Roman"/>
                <w:lang w:val="lt-LT"/>
              </w:rPr>
              <w:t>2025-11-09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E83B6" w14:textId="57C32391" w:rsidR="00386BB3" w:rsidRPr="00D87619" w:rsidRDefault="00386BB3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619">
              <w:rPr>
                <w:rFonts w:ascii="Times New Roman" w:eastAsia="Segoe UI" w:hAnsi="Times New Roman" w:cs="Times New Roman"/>
              </w:rPr>
              <w:t>10425483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AF3E" w14:textId="79DB6F6E" w:rsidR="00386BB3" w:rsidRPr="00D87619" w:rsidRDefault="00386BB3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619">
              <w:rPr>
                <w:rFonts w:ascii="Times New Roman" w:eastAsia="Segoe UI" w:hAnsi="Times New Roman" w:cs="Times New Roman"/>
              </w:rPr>
              <w:t>WE-10998272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293FF" w14:textId="3A18D89D" w:rsidR="00386BB3" w:rsidRPr="00D87619" w:rsidRDefault="00386BB3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6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47980" w14:textId="63FC217D" w:rsidR="00386BB3" w:rsidRPr="00D87619" w:rsidRDefault="00386BB3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619">
              <w:rPr>
                <w:rFonts w:ascii="Times New Roman" w:hAnsi="Times New Roman" w:cs="Times New Roman"/>
              </w:rPr>
              <w:t>FULL USE</w:t>
            </w:r>
          </w:p>
        </w:tc>
      </w:tr>
      <w:tr w:rsidR="00D87619" w:rsidRPr="00D87619" w14:paraId="55B20043" w14:textId="77777777" w:rsidTr="00455B79">
        <w:trPr>
          <w:trHeight w:val="135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0EAF" w14:textId="77777777" w:rsidR="00386BB3" w:rsidRPr="00D87619" w:rsidRDefault="00386BB3" w:rsidP="00B96A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FF69E" w14:textId="77777777" w:rsidR="00386BB3" w:rsidRPr="00D87619" w:rsidRDefault="00386BB3" w:rsidP="00B96A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E16E7" w14:textId="41258FAE" w:rsidR="00386BB3" w:rsidRPr="00D87619" w:rsidRDefault="00C77457" w:rsidP="00D876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619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4B0DE" w14:textId="627F7066" w:rsidR="00386BB3" w:rsidRPr="00097256" w:rsidRDefault="00386BB3" w:rsidP="00B96A4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97256">
              <w:rPr>
                <w:rFonts w:ascii="Times New Roman" w:hAnsi="Times New Roman" w:cs="Times New Roman"/>
                <w:lang w:val="lt-LT"/>
              </w:rPr>
              <w:t>2025-11-10</w:t>
            </w:r>
            <w:r w:rsidR="0EF25723" w:rsidRPr="00097256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097256">
              <w:rPr>
                <w:rFonts w:ascii="Times New Roman" w:hAnsi="Times New Roman" w:cs="Times New Roman"/>
                <w:lang w:val="lt-LT"/>
              </w:rPr>
              <w:t>–</w:t>
            </w:r>
            <w:r w:rsidR="00097256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097256">
              <w:rPr>
                <w:rFonts w:ascii="Times New Roman" w:hAnsi="Times New Roman" w:cs="Times New Roman"/>
                <w:lang w:val="lt-LT"/>
              </w:rPr>
              <w:t>2026-11-09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F83A" w14:textId="77777777" w:rsidR="00386BB3" w:rsidRPr="00D87619" w:rsidRDefault="00386BB3" w:rsidP="00B96A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8D85" w14:textId="77777777" w:rsidR="00386BB3" w:rsidRPr="00D87619" w:rsidRDefault="00386BB3" w:rsidP="00B96A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DEB3E" w14:textId="77777777" w:rsidR="00386BB3" w:rsidRPr="00D87619" w:rsidRDefault="00386BB3" w:rsidP="00B96A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66308" w14:textId="77777777" w:rsidR="00386BB3" w:rsidRPr="00D87619" w:rsidRDefault="00386BB3" w:rsidP="00B96A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619" w:rsidRPr="00D87619" w14:paraId="2000E288" w14:textId="77777777" w:rsidTr="00455B79">
        <w:trPr>
          <w:trHeight w:val="197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64D5E" w14:textId="7D7B546E" w:rsidR="00386BB3" w:rsidRPr="00D87619" w:rsidRDefault="00386BB3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61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2EDA3" w14:textId="4A5CCBEB" w:rsidR="00386BB3" w:rsidRPr="00D87619" w:rsidRDefault="00386BB3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619">
              <w:rPr>
                <w:rFonts w:ascii="Times New Roman" w:hAnsi="Times New Roman" w:cs="Times New Roman"/>
              </w:rPr>
              <w:t>Oracle database standard edition 2 - Processor Perpetual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379E" w14:textId="0340A540" w:rsidR="00386BB3" w:rsidRPr="00D87619" w:rsidRDefault="00C77457" w:rsidP="00D876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619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33B90" w14:textId="2284EF91" w:rsidR="00386BB3" w:rsidRPr="00097256" w:rsidRDefault="00386BB3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97256">
              <w:rPr>
                <w:rFonts w:ascii="Times New Roman" w:hAnsi="Times New Roman" w:cs="Times New Roman"/>
                <w:lang w:val="lt-LT"/>
              </w:rPr>
              <w:t>Nuo Sutarties įsigaliojimo*</w:t>
            </w:r>
            <w:r w:rsidR="0CE84BD7" w:rsidRPr="00097256">
              <w:rPr>
                <w:rFonts w:ascii="Times New Roman" w:hAnsi="Times New Roman" w:cs="Times New Roman"/>
                <w:lang w:val="lt-LT"/>
              </w:rPr>
              <w:t>*</w:t>
            </w:r>
            <w:r w:rsidR="00097256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097256">
              <w:rPr>
                <w:rFonts w:ascii="Times New Roman" w:hAnsi="Times New Roman" w:cs="Times New Roman"/>
                <w:lang w:val="lt-LT"/>
              </w:rPr>
              <w:t>–</w:t>
            </w:r>
            <w:r w:rsidR="00097256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097256">
              <w:rPr>
                <w:rFonts w:ascii="Times New Roman" w:hAnsi="Times New Roman" w:cs="Times New Roman"/>
                <w:lang w:val="lt-LT"/>
              </w:rPr>
              <w:t>2025-11-09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E9BD" w14:textId="5A9D9DB6" w:rsidR="00386BB3" w:rsidRPr="00D87619" w:rsidRDefault="00386BB3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619">
              <w:rPr>
                <w:rFonts w:ascii="Times New Roman" w:hAnsi="Times New Roman" w:cs="Times New Roman"/>
              </w:rPr>
              <w:t>23785219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3DD1E" w14:textId="6BB83F22" w:rsidR="00386BB3" w:rsidRPr="00D87619" w:rsidRDefault="00386BB3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619">
              <w:rPr>
                <w:rFonts w:ascii="Times New Roman" w:hAnsi="Times New Roman" w:cs="Times New Roman"/>
              </w:rPr>
              <w:t>LT100789917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7920" w14:textId="165AEA66" w:rsidR="00386BB3" w:rsidRPr="00D87619" w:rsidRDefault="00386BB3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6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1A76E" w14:textId="38DF0606" w:rsidR="00386BB3" w:rsidRPr="00D87619" w:rsidRDefault="00386BB3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619">
              <w:rPr>
                <w:rFonts w:ascii="Times New Roman" w:hAnsi="Times New Roman" w:cs="Times New Roman"/>
              </w:rPr>
              <w:t>FULL USE</w:t>
            </w:r>
          </w:p>
        </w:tc>
      </w:tr>
      <w:tr w:rsidR="00D87619" w:rsidRPr="00D87619" w14:paraId="0F039708" w14:textId="77777777" w:rsidTr="00455B79">
        <w:trPr>
          <w:trHeight w:val="55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F3E64" w14:textId="77777777" w:rsidR="00386BB3" w:rsidRPr="00D87619" w:rsidRDefault="00386BB3" w:rsidP="00B96A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96B01" w14:textId="77777777" w:rsidR="00386BB3" w:rsidRPr="00D87619" w:rsidRDefault="00386BB3" w:rsidP="00B96A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FB8D1" w14:textId="57A77D5D" w:rsidR="00386BB3" w:rsidRPr="00D87619" w:rsidRDefault="00C77457" w:rsidP="00D876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619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AD5B0" w14:textId="60E743D9" w:rsidR="00386BB3" w:rsidRPr="00D87619" w:rsidRDefault="00386BB3" w:rsidP="00422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1D35B4AB">
              <w:rPr>
                <w:rFonts w:ascii="Times New Roman" w:hAnsi="Times New Roman" w:cs="Times New Roman"/>
              </w:rPr>
              <w:t>2025-11-10</w:t>
            </w:r>
            <w:r w:rsidR="1E56D84B" w:rsidRPr="1D35B4AB">
              <w:rPr>
                <w:rFonts w:ascii="Times New Roman" w:hAnsi="Times New Roman" w:cs="Times New Roman"/>
              </w:rPr>
              <w:t xml:space="preserve"> </w:t>
            </w:r>
            <w:r w:rsidRPr="1D35B4AB">
              <w:rPr>
                <w:rFonts w:ascii="Times New Roman" w:hAnsi="Times New Roman" w:cs="Times New Roman"/>
              </w:rPr>
              <w:t>–</w:t>
            </w:r>
            <w:r w:rsidR="00097256">
              <w:rPr>
                <w:rFonts w:ascii="Times New Roman" w:hAnsi="Times New Roman" w:cs="Times New Roman"/>
              </w:rPr>
              <w:t xml:space="preserve"> </w:t>
            </w:r>
            <w:r w:rsidRPr="1D35B4AB">
              <w:rPr>
                <w:rFonts w:ascii="Times New Roman" w:hAnsi="Times New Roman" w:cs="Times New Roman"/>
              </w:rPr>
              <w:t>2026-11-09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48FFC" w14:textId="77777777" w:rsidR="00386BB3" w:rsidRPr="00D87619" w:rsidRDefault="00386BB3" w:rsidP="00B96A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4A897" w14:textId="77777777" w:rsidR="00386BB3" w:rsidRPr="00D87619" w:rsidRDefault="00386BB3" w:rsidP="00B96A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46DDE" w14:textId="77777777" w:rsidR="00386BB3" w:rsidRPr="00D87619" w:rsidRDefault="00386BB3" w:rsidP="00B96A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79C4B" w14:textId="77777777" w:rsidR="00386BB3" w:rsidRPr="00D87619" w:rsidRDefault="00386BB3" w:rsidP="00B96A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CF3FE4A" w14:textId="31402DCA" w:rsidR="00386BB3" w:rsidRPr="00097256" w:rsidRDefault="00386BB3" w:rsidP="00455B79">
      <w:pPr>
        <w:tabs>
          <w:tab w:val="left" w:pos="9781"/>
        </w:tabs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lt-LT"/>
          <w14:ligatures w14:val="none"/>
        </w:rPr>
      </w:pPr>
      <w:r w:rsidRPr="004D1D6E">
        <w:rPr>
          <w:rFonts w:ascii="Times New Roman" w:hAnsi="Times New Roman" w:cs="Times New Roman"/>
          <w:sz w:val="24"/>
          <w:szCs w:val="24"/>
          <w:lang w:val="lt-LT"/>
        </w:rPr>
        <w:t xml:space="preserve">* </w:t>
      </w:r>
      <w:r w:rsidRPr="00097256">
        <w:rPr>
          <w:rFonts w:ascii="Times New Roman" w:hAnsi="Times New Roman" w:cs="Times New Roman"/>
          <w:sz w:val="24"/>
          <w:szCs w:val="24"/>
          <w:lang w:val="lt-LT"/>
        </w:rPr>
        <w:t xml:space="preserve">Licencijų palaikymo termino pabaiga - </w:t>
      </w:r>
      <w:r w:rsidRPr="00097256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2024 m. lapkričio 9 d. </w:t>
      </w:r>
      <w:r w:rsidRPr="00097256">
        <w:rPr>
          <w:rFonts w:ascii="Times New Roman" w:hAnsi="Times New Roman" w:cs="Times New Roman"/>
          <w:sz w:val="24"/>
          <w:szCs w:val="24"/>
          <w:lang w:val="lt-LT"/>
        </w:rPr>
        <w:t xml:space="preserve">Paslaugos pradedamos teikti </w:t>
      </w:r>
      <w:r w:rsidRPr="00097256">
        <w:rPr>
          <w:rFonts w:ascii="Times New Roman" w:eastAsia="Times New Roman" w:hAnsi="Times New Roman" w:cs="Times New Roman"/>
          <w:kern w:val="0"/>
          <w:sz w:val="24"/>
          <w:szCs w:val="24"/>
          <w:lang w:val="lt-LT"/>
          <w14:ligatures w14:val="none"/>
        </w:rPr>
        <w:t>įsigaliojus Sutarčiai</w:t>
      </w:r>
      <w:r w:rsidR="00455B79">
        <w:rPr>
          <w:rFonts w:ascii="Times New Roman" w:eastAsia="Times New Roman" w:hAnsi="Times New Roman" w:cs="Times New Roman"/>
          <w:kern w:val="0"/>
          <w:sz w:val="24"/>
          <w:szCs w:val="24"/>
          <w:lang w:val="lt-LT"/>
          <w14:ligatures w14:val="none"/>
        </w:rPr>
        <w:t>,</w:t>
      </w:r>
      <w:r w:rsidR="00455B79" w:rsidRPr="00455B7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/>
          <w14:ligatures w14:val="none"/>
        </w:rPr>
        <w:t xml:space="preserve"> </w:t>
      </w:r>
      <w:r w:rsidR="00455B79" w:rsidRPr="00D93E0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/>
          <w14:ligatures w14:val="none"/>
        </w:rPr>
        <w:t>bet ne vėliau kaip per 5 (penkias) darbo dienas nuo Sutarties įsigaliojimo</w:t>
      </w:r>
      <w:r w:rsidR="00455B79" w:rsidRPr="00097256">
        <w:rPr>
          <w:rFonts w:ascii="Times New Roman" w:eastAsia="Times New Roman" w:hAnsi="Times New Roman" w:cs="Times New Roman"/>
          <w:kern w:val="0"/>
          <w:sz w:val="24"/>
          <w:szCs w:val="24"/>
          <w:lang w:val="lt-LT"/>
          <w14:ligatures w14:val="none"/>
        </w:rPr>
        <w:t xml:space="preserve">. Pranešimas apie </w:t>
      </w:r>
      <w:r w:rsidR="00455B79">
        <w:rPr>
          <w:rFonts w:ascii="Times New Roman" w:eastAsia="Times New Roman" w:hAnsi="Times New Roman" w:cs="Times New Roman"/>
          <w:kern w:val="0"/>
          <w:sz w:val="24"/>
          <w:szCs w:val="24"/>
          <w:lang w:val="lt-LT"/>
          <w14:ligatures w14:val="none"/>
        </w:rPr>
        <w:t xml:space="preserve">I </w:t>
      </w:r>
      <w:r w:rsidR="00455B79" w:rsidRPr="00097256">
        <w:rPr>
          <w:rFonts w:ascii="Times New Roman" w:eastAsia="Times New Roman" w:hAnsi="Times New Roman" w:cs="Times New Roman"/>
          <w:kern w:val="0"/>
          <w:sz w:val="24"/>
          <w:szCs w:val="24"/>
          <w:lang w:val="lt-LT"/>
          <w14:ligatures w14:val="none"/>
        </w:rPr>
        <w:t xml:space="preserve">Paslaugų teikimo laikotarpio aktyvavimą turi būti pateikiamas ne vėliau kaip per 5 (penkias) darbo dienas nuo Sutarties įsigaliojimo. II Paslaugų teikimo laikotarpis aktyvuojamas </w:t>
      </w:r>
      <w:r w:rsidR="00455B79">
        <w:rPr>
          <w:rFonts w:ascii="Times New Roman" w:eastAsia="Times New Roman" w:hAnsi="Times New Roman" w:cs="Times New Roman"/>
          <w:kern w:val="0"/>
          <w:sz w:val="24"/>
          <w:szCs w:val="24"/>
          <w:lang w:val="lt-LT"/>
          <w14:ligatures w14:val="none"/>
        </w:rPr>
        <w:t>nepertraukiamai, t. y. ne vėliau kaip paskutinę I Paslaugų teikimo laikotarpio dieną, užtikrinant nenutrūkstamą Paslaugų teikimą. Pranešimas apie II Paslaugų teikimo laikotarpio aktyvavimą turi būti pateikiamas ne vėliau kaip per 5 (penkias) darbo dienas nuo nepertraukiamo aktyvavimo dienos.</w:t>
      </w:r>
    </w:p>
    <w:p w14:paraId="677F56EB" w14:textId="4066F485" w:rsidR="000F44B9" w:rsidRPr="00455B79" w:rsidRDefault="00386BB3" w:rsidP="00455B79">
      <w:pPr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lt-LT"/>
          <w14:ligatures w14:val="none"/>
        </w:rPr>
      </w:pPr>
      <w:r w:rsidRPr="00097256">
        <w:rPr>
          <w:rFonts w:ascii="Times New Roman" w:eastAsia="Times New Roman" w:hAnsi="Times New Roman" w:cs="Times New Roman"/>
          <w:kern w:val="0"/>
          <w:sz w:val="24"/>
          <w:szCs w:val="24"/>
          <w:lang w:val="lt-LT"/>
          <w14:ligatures w14:val="none"/>
        </w:rPr>
        <w:t>*</w:t>
      </w:r>
      <w:r w:rsidRPr="00097256">
        <w:rPr>
          <w:rFonts w:ascii="Times New Roman" w:hAnsi="Times New Roman" w:cs="Times New Roman"/>
          <w:sz w:val="24"/>
          <w:szCs w:val="24"/>
          <w:lang w:val="lt-LT"/>
        </w:rPr>
        <w:t>* Licencijų palaikymo termino pabaiga</w:t>
      </w:r>
      <w:r w:rsidRPr="004D1D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F36DA" w:rsidRPr="00455B79">
        <w:rPr>
          <w:rFonts w:ascii="Times New Roman" w:hAnsi="Times New Roman" w:cs="Times New Roman"/>
          <w:sz w:val="24"/>
          <w:szCs w:val="24"/>
          <w:lang w:val="lt-LT"/>
        </w:rPr>
        <w:t>-</w:t>
      </w:r>
      <w:r w:rsidRPr="00F93595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2024 m. 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rugpjūčio</w:t>
      </w:r>
      <w:r w:rsidRPr="00F93595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14</w:t>
      </w:r>
      <w:r w:rsidRPr="00F93595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d.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Paslaugos pradedamos teikti </w:t>
      </w:r>
      <w:r w:rsidRPr="00864AE6">
        <w:rPr>
          <w:rFonts w:ascii="Times New Roman" w:eastAsia="Times New Roman" w:hAnsi="Times New Roman" w:cs="Times New Roman"/>
          <w:kern w:val="0"/>
          <w:sz w:val="24"/>
          <w:szCs w:val="24"/>
          <w:lang w:val="lt-LT"/>
          <w14:ligatures w14:val="none"/>
        </w:rPr>
        <w:t>įsigaliojus Sutarčiai</w:t>
      </w:r>
      <w:r w:rsidR="00455B79">
        <w:rPr>
          <w:rFonts w:ascii="Times New Roman" w:eastAsia="Times New Roman" w:hAnsi="Times New Roman" w:cs="Times New Roman"/>
          <w:kern w:val="0"/>
          <w:sz w:val="24"/>
          <w:szCs w:val="24"/>
          <w:lang w:val="lt-LT"/>
          <w14:ligatures w14:val="none"/>
        </w:rPr>
        <w:t>,</w:t>
      </w:r>
      <w:r w:rsidR="00455B79" w:rsidRPr="00455B7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/>
          <w14:ligatures w14:val="none"/>
        </w:rPr>
        <w:t xml:space="preserve"> </w:t>
      </w:r>
      <w:r w:rsidR="00455B79" w:rsidRPr="00D93E0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/>
          <w14:ligatures w14:val="none"/>
        </w:rPr>
        <w:t>bet ne vėliau kaip per 5 (penkias) darbo dienas nuo Sutarties įsigaliojimo</w:t>
      </w:r>
      <w:r w:rsidR="00455B79" w:rsidRPr="00097256">
        <w:rPr>
          <w:rFonts w:ascii="Times New Roman" w:eastAsia="Times New Roman" w:hAnsi="Times New Roman" w:cs="Times New Roman"/>
          <w:kern w:val="0"/>
          <w:sz w:val="24"/>
          <w:szCs w:val="24"/>
          <w:lang w:val="lt-LT"/>
          <w14:ligatures w14:val="none"/>
        </w:rPr>
        <w:t xml:space="preserve">. Pranešimas apie </w:t>
      </w:r>
      <w:r w:rsidR="00455B79">
        <w:rPr>
          <w:rFonts w:ascii="Times New Roman" w:eastAsia="Times New Roman" w:hAnsi="Times New Roman" w:cs="Times New Roman"/>
          <w:kern w:val="0"/>
          <w:sz w:val="24"/>
          <w:szCs w:val="24"/>
          <w:lang w:val="lt-LT"/>
          <w14:ligatures w14:val="none"/>
        </w:rPr>
        <w:t xml:space="preserve">I </w:t>
      </w:r>
      <w:r w:rsidR="00455B79" w:rsidRPr="00097256">
        <w:rPr>
          <w:rFonts w:ascii="Times New Roman" w:eastAsia="Times New Roman" w:hAnsi="Times New Roman" w:cs="Times New Roman"/>
          <w:kern w:val="0"/>
          <w:sz w:val="24"/>
          <w:szCs w:val="24"/>
          <w:lang w:val="lt-LT"/>
          <w14:ligatures w14:val="none"/>
        </w:rPr>
        <w:t xml:space="preserve">Paslaugų teikimo laikotarpio aktyvavimą turi būti pateikiamas ne vėliau kaip per 5 (penkias) darbo dienas </w:t>
      </w:r>
      <w:r w:rsidR="00455B79" w:rsidRPr="00097256">
        <w:rPr>
          <w:rFonts w:ascii="Times New Roman" w:eastAsia="Times New Roman" w:hAnsi="Times New Roman" w:cs="Times New Roman"/>
          <w:kern w:val="0"/>
          <w:sz w:val="24"/>
          <w:szCs w:val="24"/>
          <w:lang w:val="lt-LT"/>
          <w14:ligatures w14:val="none"/>
        </w:rPr>
        <w:lastRenderedPageBreak/>
        <w:t xml:space="preserve">nuo Sutarties įsigaliojimo. II Paslaugų teikimo laikotarpis aktyvuojamas </w:t>
      </w:r>
      <w:r w:rsidR="00455B79">
        <w:rPr>
          <w:rFonts w:ascii="Times New Roman" w:eastAsia="Times New Roman" w:hAnsi="Times New Roman" w:cs="Times New Roman"/>
          <w:kern w:val="0"/>
          <w:sz w:val="24"/>
          <w:szCs w:val="24"/>
          <w:lang w:val="lt-LT"/>
          <w14:ligatures w14:val="none"/>
        </w:rPr>
        <w:t>nepertraukiamai, t. y. ne vėliau kaip paskutinę I Paslaugų teikimo laikotarpio dieną, užtikrinant nenutrūkstamą Paslaugų teikimą. Pranešimas apie II Paslaugų teikimo laikotarpio aktyvavimą turi būti pateikiamas ne vėliau kaip per 5 (penkias) darbo dienas nuo nepertraukiamo aktyvavimo dienos.</w:t>
      </w:r>
    </w:p>
    <w:p w14:paraId="7AB2D60C" w14:textId="77777777" w:rsidR="006A057A" w:rsidRPr="00864AE6" w:rsidRDefault="006A057A" w:rsidP="0042261B">
      <w:pPr>
        <w:numPr>
          <w:ilvl w:val="0"/>
          <w:numId w:val="5"/>
        </w:numPr>
        <w:pBdr>
          <w:top w:val="single" w:sz="4" w:space="1" w:color="auto"/>
          <w:bottom w:val="single" w:sz="4" w:space="1" w:color="auto"/>
        </w:pBdr>
        <w:tabs>
          <w:tab w:val="left" w:pos="567"/>
        </w:tabs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lt-LT"/>
          <w14:ligatures w14:val="none"/>
        </w:rPr>
      </w:pPr>
      <w:r w:rsidRPr="00864AE6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lt-LT"/>
          <w14:ligatures w14:val="none"/>
        </w:rPr>
        <w:t>REIKALAVIMAI PIRKIMO OBJEKTUI</w:t>
      </w:r>
    </w:p>
    <w:tbl>
      <w:tblPr>
        <w:tblStyle w:val="TableGrid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9355"/>
      </w:tblGrid>
      <w:tr w:rsidR="00F95675" w:rsidRPr="00864AE6" w14:paraId="0FAD0B18" w14:textId="77777777" w:rsidTr="0042261B">
        <w:trPr>
          <w:trHeight w:val="404"/>
        </w:trPr>
        <w:tc>
          <w:tcPr>
            <w:tcW w:w="851" w:type="dxa"/>
            <w:vAlign w:val="center"/>
          </w:tcPr>
          <w:p w14:paraId="4235CD30" w14:textId="41DC05B6" w:rsidR="00F95675" w:rsidRPr="0042261B" w:rsidRDefault="00D123DE" w:rsidP="007515E3">
            <w:pPr>
              <w:jc w:val="both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 w:rsidRPr="0042261B">
              <w:rPr>
                <w:rFonts w:ascii="Times New Roman" w:eastAsia="Segoe UI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9355" w:type="dxa"/>
            <w:vAlign w:val="center"/>
          </w:tcPr>
          <w:p w14:paraId="250D70CC" w14:textId="19EE6870" w:rsidR="00F95675" w:rsidRPr="0042261B" w:rsidRDefault="00F95675" w:rsidP="007515E3">
            <w:pPr>
              <w:jc w:val="both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</w:rPr>
            </w:pPr>
            <w:r w:rsidRPr="0042261B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</w:rPr>
              <w:t xml:space="preserve">Reikalavimai </w:t>
            </w:r>
            <w:r w:rsidR="00AE0389" w:rsidRPr="0042261B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</w:rPr>
              <w:t>P</w:t>
            </w:r>
            <w:r w:rsidRPr="0042261B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</w:rPr>
              <w:t>aslaugo</w:t>
            </w:r>
            <w:r w:rsidR="00AE0389" w:rsidRPr="0042261B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</w:rPr>
              <w:t>m</w:t>
            </w:r>
            <w:r w:rsidRPr="0042261B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</w:rPr>
              <w:t>s</w:t>
            </w:r>
            <w:r w:rsidR="0016535B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F95675" w:rsidRPr="00864AE6" w14:paraId="699B21B9" w14:textId="77777777" w:rsidTr="0042261B">
        <w:trPr>
          <w:trHeight w:val="404"/>
        </w:trPr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C8F480B" w14:textId="658B6644" w:rsidR="00F95675" w:rsidRPr="0042261B" w:rsidRDefault="00D123DE" w:rsidP="007515E3">
            <w:pPr>
              <w:numPr>
                <w:ilvl w:val="0"/>
                <w:numId w:val="15"/>
              </w:numPr>
              <w:jc w:val="both"/>
              <w:rPr>
                <w:rFonts w:ascii="Times New Roman" w:eastAsia="Segoe U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Segoe UI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D445" w14:textId="77024945" w:rsidR="00F95675" w:rsidRPr="0042261B" w:rsidRDefault="00F95675" w:rsidP="007515E3">
            <w:pPr>
              <w:jc w:val="both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</w:rPr>
            </w:pPr>
            <w:r w:rsidRPr="0042261B">
              <w:rPr>
                <w:rFonts w:ascii="Times New Roman" w:eastAsia="Segoe UI" w:hAnsi="Times New Roman" w:cs="Times New Roman"/>
                <w:sz w:val="24"/>
                <w:szCs w:val="24"/>
              </w:rPr>
              <w:t>Paslaugos turi būti teikiamos pagal „</w:t>
            </w:r>
            <w:proofErr w:type="spellStart"/>
            <w:r w:rsidRPr="0042261B">
              <w:rPr>
                <w:rFonts w:ascii="Times New Roman" w:eastAsia="Segoe UI" w:hAnsi="Times New Roman" w:cs="Times New Roman"/>
                <w:sz w:val="24"/>
                <w:szCs w:val="24"/>
              </w:rPr>
              <w:t>Oracle</w:t>
            </w:r>
            <w:proofErr w:type="spellEnd"/>
            <w:r w:rsidRPr="0042261B">
              <w:rPr>
                <w:rFonts w:ascii="Times New Roman" w:eastAsia="Segoe UI" w:hAnsi="Times New Roman" w:cs="Times New Roman"/>
                <w:sz w:val="24"/>
                <w:szCs w:val="24"/>
              </w:rPr>
              <w:t xml:space="preserve">“ korporacijos nustatytas techninio aptarnavimo (palaikymo) taisykles bei pagal </w:t>
            </w:r>
            <w:r w:rsidR="007F4DFE" w:rsidRPr="00B96A4D">
              <w:rPr>
                <w:rFonts w:ascii="Times New Roman" w:eastAsia="Segoe UI" w:hAnsi="Times New Roman" w:cs="Times New Roman"/>
                <w:sz w:val="24"/>
                <w:szCs w:val="24"/>
              </w:rPr>
              <w:t>„</w:t>
            </w:r>
            <w:proofErr w:type="spellStart"/>
            <w:r w:rsidR="007F4DFE" w:rsidRPr="00B96A4D">
              <w:rPr>
                <w:rFonts w:ascii="Times New Roman" w:eastAsia="Segoe UI" w:hAnsi="Times New Roman" w:cs="Times New Roman"/>
                <w:sz w:val="24"/>
                <w:szCs w:val="24"/>
              </w:rPr>
              <w:t>Oracle</w:t>
            </w:r>
            <w:proofErr w:type="spellEnd"/>
            <w:r w:rsidR="007F4DFE" w:rsidRPr="00B96A4D">
              <w:rPr>
                <w:rFonts w:ascii="Times New Roman" w:eastAsia="Segoe U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F4DFE" w:rsidRPr="00B96A4D">
              <w:rPr>
                <w:rFonts w:ascii="Times New Roman" w:eastAsia="Segoe UI" w:hAnsi="Times New Roman" w:cs="Times New Roman"/>
                <w:sz w:val="24"/>
                <w:szCs w:val="24"/>
              </w:rPr>
              <w:t>Premier</w:t>
            </w:r>
            <w:proofErr w:type="spellEnd"/>
            <w:r w:rsidR="007F4DFE" w:rsidRPr="00B96A4D">
              <w:rPr>
                <w:rFonts w:ascii="Times New Roman" w:eastAsia="Segoe U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F4DFE" w:rsidRPr="00B96A4D">
              <w:rPr>
                <w:rFonts w:ascii="Times New Roman" w:eastAsia="Segoe UI" w:hAnsi="Times New Roman" w:cs="Times New Roman"/>
                <w:sz w:val="24"/>
                <w:szCs w:val="24"/>
              </w:rPr>
              <w:t>Support</w:t>
            </w:r>
            <w:proofErr w:type="spellEnd"/>
            <w:r w:rsidR="007F4DFE" w:rsidRPr="00B96A4D">
              <w:rPr>
                <w:rFonts w:ascii="Times New Roman" w:eastAsia="Segoe UI" w:hAnsi="Times New Roman" w:cs="Times New Roman"/>
                <w:sz w:val="24"/>
                <w:szCs w:val="24"/>
              </w:rPr>
              <w:t>“</w:t>
            </w:r>
            <w:r w:rsidR="007F4DFE" w:rsidRPr="0042261B">
              <w:rPr>
                <w:rFonts w:ascii="Times New Roman" w:eastAsia="Segoe UI" w:hAnsi="Times New Roman" w:cs="Times New Roman"/>
                <w:sz w:val="24"/>
                <w:szCs w:val="24"/>
              </w:rPr>
              <w:t xml:space="preserve"> </w:t>
            </w:r>
            <w:r w:rsidRPr="0042261B">
              <w:rPr>
                <w:rFonts w:ascii="Times New Roman" w:eastAsia="Segoe UI" w:hAnsi="Times New Roman" w:cs="Times New Roman"/>
                <w:sz w:val="24"/>
                <w:szCs w:val="24"/>
              </w:rPr>
              <w:t>paslaugų lygį 24x7 režimu. Detalus taisyklių ir paslaugų teikimo lygio aprašymas yra pateikiamas gamintojo adresu: http://www.oracle.com/support/.</w:t>
            </w:r>
          </w:p>
        </w:tc>
      </w:tr>
      <w:tr w:rsidR="00F95675" w:rsidRPr="00864AE6" w14:paraId="5672504C" w14:textId="77777777" w:rsidTr="0042261B">
        <w:trPr>
          <w:trHeight w:val="404"/>
        </w:trPr>
        <w:tc>
          <w:tcPr>
            <w:tcW w:w="851" w:type="dxa"/>
            <w:tcBorders>
              <w:right w:val="single" w:sz="4" w:space="0" w:color="auto"/>
            </w:tcBorders>
          </w:tcPr>
          <w:p w14:paraId="7F699B0F" w14:textId="6A7BEBB2" w:rsidR="00F95675" w:rsidRPr="0042261B" w:rsidRDefault="00D123DE" w:rsidP="0042261B">
            <w:pPr>
              <w:jc w:val="both"/>
              <w:rPr>
                <w:rFonts w:ascii="Times New Roman" w:eastAsia="Segoe U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Segoe UI" w:hAnsi="Times New Roman" w:cs="Times New Roman"/>
                <w:bCs/>
                <w:sz w:val="24"/>
                <w:szCs w:val="24"/>
              </w:rPr>
              <w:t>4.1.2.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7B06" w14:textId="5AC46C3F" w:rsidR="00F95675" w:rsidRPr="0042261B" w:rsidRDefault="00F6237E" w:rsidP="007515E3">
            <w:pPr>
              <w:jc w:val="both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>Esant</w:t>
            </w:r>
            <w:r w:rsidRPr="0042261B">
              <w:rPr>
                <w:rFonts w:ascii="Times New Roman" w:eastAsia="Segoe UI" w:hAnsi="Times New Roman" w:cs="Times New Roman"/>
                <w:sz w:val="24"/>
                <w:szCs w:val="24"/>
              </w:rPr>
              <w:t xml:space="preserve"> </w:t>
            </w:r>
            <w:r w:rsidR="00F95675" w:rsidRPr="0042261B">
              <w:rPr>
                <w:rFonts w:ascii="Times New Roman" w:eastAsia="Segoe UI" w:hAnsi="Times New Roman" w:cs="Times New Roman"/>
                <w:sz w:val="24"/>
                <w:szCs w:val="24"/>
              </w:rPr>
              <w:t xml:space="preserve">Perkančiosios organizacijos </w:t>
            </w:r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>poreikiui</w:t>
            </w:r>
            <w:r w:rsidR="00F95675" w:rsidRPr="0042261B">
              <w:rPr>
                <w:rFonts w:ascii="Times New Roman" w:eastAsia="Segoe UI" w:hAnsi="Times New Roman" w:cs="Times New Roman"/>
                <w:sz w:val="24"/>
                <w:szCs w:val="24"/>
              </w:rPr>
              <w:t>, turi būti nemokamai pateiktos „</w:t>
            </w:r>
            <w:proofErr w:type="spellStart"/>
            <w:r w:rsidR="00F95675" w:rsidRPr="0042261B">
              <w:rPr>
                <w:rFonts w:ascii="Times New Roman" w:eastAsia="Segoe UI" w:hAnsi="Times New Roman" w:cs="Times New Roman"/>
                <w:sz w:val="24"/>
                <w:szCs w:val="24"/>
              </w:rPr>
              <w:t>Oracle</w:t>
            </w:r>
            <w:proofErr w:type="spellEnd"/>
            <w:r w:rsidR="00F95675" w:rsidRPr="0042261B">
              <w:rPr>
                <w:rFonts w:ascii="Times New Roman" w:eastAsia="Segoe UI" w:hAnsi="Times New Roman" w:cs="Times New Roman"/>
                <w:sz w:val="24"/>
                <w:szCs w:val="24"/>
              </w:rPr>
              <w:t>“ programinių produktų naujausios versijos, atnaujinimai bei dokumentacija, perkeltos licencijos į kitą kompiuterinę platformą ar operacinę sistemą.</w:t>
            </w:r>
          </w:p>
        </w:tc>
      </w:tr>
      <w:tr w:rsidR="002F2B1B" w:rsidRPr="00864AE6" w14:paraId="64BB4202" w14:textId="77777777" w:rsidTr="0042261B">
        <w:trPr>
          <w:trHeight w:val="404"/>
        </w:trPr>
        <w:tc>
          <w:tcPr>
            <w:tcW w:w="851" w:type="dxa"/>
            <w:tcBorders>
              <w:right w:val="single" w:sz="4" w:space="0" w:color="auto"/>
            </w:tcBorders>
          </w:tcPr>
          <w:p w14:paraId="22A48BBA" w14:textId="1B3B7BD9" w:rsidR="002F2B1B" w:rsidRDefault="00860545" w:rsidP="0042261B">
            <w:pPr>
              <w:jc w:val="both"/>
              <w:rPr>
                <w:rFonts w:ascii="Times New Roman" w:eastAsia="Segoe U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Segoe UI" w:hAnsi="Times New Roman" w:cs="Times New Roman"/>
                <w:bCs/>
                <w:sz w:val="24"/>
                <w:szCs w:val="24"/>
              </w:rPr>
              <w:t>4.1.3.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2814" w14:textId="7B6E385D" w:rsidR="002F2B1B" w:rsidRPr="0042261B" w:rsidRDefault="008F0221" w:rsidP="007515E3">
            <w:pPr>
              <w:jc w:val="both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Esant </w:t>
            </w:r>
            <w:r w:rsidRPr="0042261B">
              <w:rPr>
                <w:rFonts w:ascii="Times New Roman" w:eastAsia="Segoe UI" w:hAnsi="Times New Roman" w:cs="Times New Roman"/>
                <w:sz w:val="24"/>
                <w:szCs w:val="24"/>
              </w:rPr>
              <w:t xml:space="preserve">Perkančiosios organizacijos </w:t>
            </w:r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>poreikiui</w:t>
            </w:r>
            <w:r w:rsidRPr="00452D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64C1">
              <w:rPr>
                <w:rFonts w:ascii="Times New Roman" w:hAnsi="Times New Roman" w:cs="Times New Roman"/>
                <w:sz w:val="24"/>
                <w:szCs w:val="24"/>
              </w:rPr>
              <w:t xml:space="preserve">turi būti </w:t>
            </w:r>
            <w:r w:rsidR="00074444">
              <w:rPr>
                <w:rFonts w:ascii="Times New Roman" w:hAnsi="Times New Roman" w:cs="Times New Roman"/>
                <w:sz w:val="24"/>
                <w:szCs w:val="24"/>
              </w:rPr>
              <w:t>teiki</w:t>
            </w:r>
            <w:r w:rsidR="00084A60">
              <w:rPr>
                <w:rFonts w:ascii="Times New Roman" w:hAnsi="Times New Roman" w:cs="Times New Roman"/>
                <w:sz w:val="24"/>
                <w:szCs w:val="24"/>
              </w:rPr>
              <w:t xml:space="preserve">ama </w:t>
            </w:r>
            <w:r w:rsidR="00AC64C1">
              <w:rPr>
                <w:rFonts w:ascii="Times New Roman" w:hAnsi="Times New Roman" w:cs="Times New Roman"/>
                <w:sz w:val="24"/>
                <w:szCs w:val="24"/>
              </w:rPr>
              <w:t xml:space="preserve">nemokama </w:t>
            </w:r>
            <w:r w:rsidR="00F44A1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C64C1">
              <w:rPr>
                <w:rFonts w:ascii="Times New Roman" w:hAnsi="Times New Roman" w:cs="Times New Roman"/>
                <w:sz w:val="24"/>
                <w:szCs w:val="24"/>
              </w:rPr>
              <w:t>agalba spr</w:t>
            </w:r>
            <w:r w:rsidR="00056AE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AC64C1">
              <w:rPr>
                <w:rFonts w:ascii="Times New Roman" w:hAnsi="Times New Roman" w:cs="Times New Roman"/>
                <w:sz w:val="24"/>
                <w:szCs w:val="24"/>
              </w:rPr>
              <w:t xml:space="preserve">ndžiant </w:t>
            </w:r>
            <w:r w:rsidR="002F2B1B" w:rsidRPr="00452DEC">
              <w:rPr>
                <w:rFonts w:ascii="Times New Roman" w:hAnsi="Times New Roman" w:cs="Times New Roman"/>
                <w:sz w:val="24"/>
                <w:szCs w:val="24"/>
              </w:rPr>
              <w:t>užregistruot</w:t>
            </w:r>
            <w:r w:rsidR="00084A60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="002F2B1B" w:rsidRPr="00452DEC">
              <w:rPr>
                <w:rFonts w:ascii="Times New Roman" w:hAnsi="Times New Roman" w:cs="Times New Roman"/>
                <w:sz w:val="24"/>
                <w:szCs w:val="24"/>
              </w:rPr>
              <w:t xml:space="preserve"> problem</w:t>
            </w:r>
            <w:r w:rsidR="00084A60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="002F2B1B" w:rsidRPr="00452DEC">
              <w:rPr>
                <w:rFonts w:ascii="Times New Roman" w:hAnsi="Times New Roman" w:cs="Times New Roman"/>
                <w:sz w:val="24"/>
                <w:szCs w:val="24"/>
              </w:rPr>
              <w:t xml:space="preserve"> / incident</w:t>
            </w:r>
            <w:r w:rsidR="00084A60">
              <w:rPr>
                <w:rFonts w:ascii="Times New Roman" w:hAnsi="Times New Roman" w:cs="Times New Roman"/>
                <w:sz w:val="24"/>
                <w:szCs w:val="24"/>
              </w:rPr>
              <w:t>us susijusius Paslaugomis.</w:t>
            </w:r>
          </w:p>
        </w:tc>
      </w:tr>
      <w:tr w:rsidR="00A26268" w:rsidRPr="00A26268" w14:paraId="5F500385" w14:textId="77777777" w:rsidTr="0042261B">
        <w:trPr>
          <w:trHeight w:val="404"/>
        </w:trPr>
        <w:tc>
          <w:tcPr>
            <w:tcW w:w="851" w:type="dxa"/>
            <w:tcBorders>
              <w:right w:val="single" w:sz="4" w:space="0" w:color="auto"/>
            </w:tcBorders>
          </w:tcPr>
          <w:p w14:paraId="240ADCF9" w14:textId="77777777" w:rsidR="00A26268" w:rsidRPr="00A26268" w:rsidRDefault="00A26268" w:rsidP="007515E3">
            <w:pPr>
              <w:numPr>
                <w:ilvl w:val="0"/>
                <w:numId w:val="15"/>
              </w:numPr>
              <w:jc w:val="both"/>
              <w:rPr>
                <w:rFonts w:ascii="Times New Roman" w:eastAsia="Segoe U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FA59" w14:textId="6A296009" w:rsidR="00A26268" w:rsidRPr="0042261B" w:rsidRDefault="00D123DE" w:rsidP="007515E3">
            <w:pPr>
              <w:jc w:val="both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</w:rPr>
            </w:pPr>
            <w:r w:rsidRPr="0042261B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</w:rPr>
              <w:t>Reikalavimai Tiekėjui</w:t>
            </w:r>
            <w:r w:rsidR="0016535B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F95675" w:rsidRPr="00864AE6" w14:paraId="620BDBA3" w14:textId="77777777" w:rsidTr="0042261B">
        <w:trPr>
          <w:trHeight w:val="404"/>
        </w:trPr>
        <w:tc>
          <w:tcPr>
            <w:tcW w:w="851" w:type="dxa"/>
            <w:tcBorders>
              <w:right w:val="single" w:sz="4" w:space="0" w:color="auto"/>
            </w:tcBorders>
          </w:tcPr>
          <w:p w14:paraId="7A7F5982" w14:textId="55BA9D0F" w:rsidR="00F95675" w:rsidRPr="0042261B" w:rsidRDefault="00D123DE" w:rsidP="0042261B">
            <w:pPr>
              <w:jc w:val="both"/>
              <w:rPr>
                <w:rFonts w:ascii="Times New Roman" w:eastAsia="Segoe U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Segoe UI" w:hAnsi="Times New Roman" w:cs="Times New Roman"/>
                <w:bCs/>
                <w:sz w:val="24"/>
                <w:szCs w:val="24"/>
              </w:rPr>
              <w:t>4.2.1.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D1A2" w14:textId="2B7B2052" w:rsidR="00F95675" w:rsidRPr="00B96A4D" w:rsidRDefault="00F95675" w:rsidP="007515E3">
            <w:pPr>
              <w:jc w:val="both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 w:rsidRPr="0042261B">
              <w:rPr>
                <w:rFonts w:ascii="Times New Roman" w:eastAsia="Segoe UI" w:hAnsi="Times New Roman" w:cs="Times New Roman"/>
                <w:sz w:val="24"/>
                <w:szCs w:val="24"/>
              </w:rPr>
              <w:t xml:space="preserve">Tiekėjas privalo turėti teisę parduoti </w:t>
            </w:r>
            <w:r w:rsidR="009221FA" w:rsidRPr="0042261B">
              <w:rPr>
                <w:rFonts w:ascii="Times New Roman" w:eastAsia="Segoe UI" w:hAnsi="Times New Roman" w:cs="Times New Roman"/>
                <w:sz w:val="24"/>
                <w:szCs w:val="24"/>
              </w:rPr>
              <w:t>programinės įrangos palaikymo</w:t>
            </w:r>
            <w:r w:rsidRPr="0042261B">
              <w:rPr>
                <w:rFonts w:ascii="Times New Roman" w:eastAsia="Segoe UI" w:hAnsi="Times New Roman" w:cs="Times New Roman"/>
                <w:sz w:val="24"/>
                <w:szCs w:val="24"/>
              </w:rPr>
              <w:t xml:space="preserve"> paslaugas. </w:t>
            </w:r>
            <w:r w:rsidRPr="0042261B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u w:val="single"/>
              </w:rPr>
              <w:t xml:space="preserve">Kartu su pasiūlymu turi būti pateiktas siūlomos programinės įrangos gamintojo išduotas įgaliojimas ar kitas lygiavertis dokumentas, patvirtinantis </w:t>
            </w:r>
            <w:r w:rsidR="00036E9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u w:val="single"/>
              </w:rPr>
              <w:t>T</w:t>
            </w:r>
            <w:r w:rsidRPr="00B96A4D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u w:val="single"/>
              </w:rPr>
              <w:t xml:space="preserve">iekėjo teisę parduoti </w:t>
            </w:r>
            <w:r w:rsidR="009221FA" w:rsidRPr="00B96A4D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u w:val="single"/>
              </w:rPr>
              <w:t>programinės įrangos palaikymo</w:t>
            </w:r>
            <w:r w:rsidRPr="00B96A4D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u w:val="single"/>
              </w:rPr>
              <w:t xml:space="preserve"> paslaugas</w:t>
            </w:r>
            <w:r w:rsidRPr="00B96A4D">
              <w:rPr>
                <w:rFonts w:ascii="Times New Roman" w:eastAsia="Segoe UI" w:hAnsi="Times New Roman" w:cs="Times New Roman"/>
                <w:sz w:val="24"/>
                <w:szCs w:val="24"/>
              </w:rPr>
              <w:t>.</w:t>
            </w:r>
          </w:p>
        </w:tc>
      </w:tr>
    </w:tbl>
    <w:p w14:paraId="36A6E2BE" w14:textId="77777777" w:rsidR="006A057A" w:rsidRPr="0042261B" w:rsidRDefault="006A057A" w:rsidP="0042261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</w:pPr>
    </w:p>
    <w:p w14:paraId="3B55545D" w14:textId="77777777" w:rsidR="006A057A" w:rsidRPr="0042261B" w:rsidRDefault="006A057A" w:rsidP="0042261B">
      <w:pPr>
        <w:numPr>
          <w:ilvl w:val="0"/>
          <w:numId w:val="5"/>
        </w:numPr>
        <w:pBdr>
          <w:top w:val="single" w:sz="4" w:space="1" w:color="auto"/>
          <w:bottom w:val="single" w:sz="4" w:space="1" w:color="auto"/>
        </w:pBdr>
        <w:tabs>
          <w:tab w:val="left" w:pos="567"/>
        </w:tabs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lt-LT" w:eastAsia="lt-LT"/>
          <w14:ligatures w14:val="none"/>
        </w:rPr>
      </w:pPr>
      <w:r w:rsidRPr="0042261B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lt-LT"/>
          <w14:ligatures w14:val="none"/>
        </w:rPr>
        <w:t>GARANTINIS TERMINAS</w:t>
      </w:r>
      <w:r w:rsidRPr="0042261B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lt-LT" w:eastAsia="lt-LT"/>
          <w14:ligatures w14:val="none"/>
        </w:rPr>
        <w:tab/>
      </w:r>
    </w:p>
    <w:p w14:paraId="2B502CEE" w14:textId="0770AE0A" w:rsidR="006A057A" w:rsidRPr="0016535B" w:rsidRDefault="006A057A" w:rsidP="0042261B">
      <w:pPr>
        <w:numPr>
          <w:ilvl w:val="1"/>
          <w:numId w:val="5"/>
        </w:numPr>
        <w:tabs>
          <w:tab w:val="left" w:pos="567"/>
          <w:tab w:val="left" w:pos="709"/>
        </w:tabs>
        <w:spacing w:after="0" w:line="240" w:lineRule="auto"/>
        <w:ind w:hanging="792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</w:pPr>
      <w:r w:rsidRPr="0042261B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>Netaikomas.</w:t>
      </w:r>
    </w:p>
    <w:p w14:paraId="3DD873B6" w14:textId="77777777" w:rsidR="006A057A" w:rsidRPr="0042261B" w:rsidRDefault="006A057A" w:rsidP="0042261B">
      <w:pPr>
        <w:numPr>
          <w:ilvl w:val="0"/>
          <w:numId w:val="5"/>
        </w:numPr>
        <w:pBdr>
          <w:top w:val="single" w:sz="4" w:space="1" w:color="auto"/>
          <w:bottom w:val="single" w:sz="4" w:space="1" w:color="auto"/>
        </w:pBdr>
        <w:tabs>
          <w:tab w:val="left" w:pos="567"/>
        </w:tabs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</w:pPr>
      <w:r w:rsidRPr="0042261B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lt-LT"/>
          <w14:ligatures w14:val="none"/>
        </w:rPr>
        <w:t>APLINKOS APSAUGOS REIKALAVIMAI</w:t>
      </w:r>
    </w:p>
    <w:p w14:paraId="0E2A7F8B" w14:textId="1406D30B" w:rsidR="00D87619" w:rsidRPr="0016535B" w:rsidRDefault="00C8218C" w:rsidP="0016535B">
      <w:pPr>
        <w:pStyle w:val="ListParagraph"/>
        <w:numPr>
          <w:ilvl w:val="1"/>
          <w:numId w:val="5"/>
        </w:numPr>
        <w:tabs>
          <w:tab w:val="left" w:pos="709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lt-LT"/>
          <w14:ligatures w14:val="none"/>
        </w:rPr>
      </w:pPr>
      <w:r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 xml:space="preserve">Paslaugos atitinka </w:t>
      </w:r>
      <w:r w:rsidR="000765C9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>Aplinkos apsaugos kriterijų taikymo, vykdant žaliuosius pirkimus, tvarkos aprašo</w:t>
      </w:r>
      <w:r w:rsidR="00C9284E" w:rsidRPr="00864AE6">
        <w:rPr>
          <w:rStyle w:val="FootnoteReference"/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footnoteReference w:id="2"/>
      </w:r>
      <w:r w:rsidR="000B38E5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 xml:space="preserve"> (toliau – Tvarkos aprašas) 4.4.3 papunkčio reikalavimus: </w:t>
      </w:r>
      <w:r w:rsidR="008B0943" w:rsidRPr="00864AE6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>„</w:t>
      </w:r>
      <w:r w:rsidR="008B0943" w:rsidRPr="0042261B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>p</w:t>
      </w:r>
      <w:r w:rsidR="008B0943" w:rsidRPr="0042261B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erkama </w:t>
      </w:r>
      <w:r w:rsidR="008B0943" w:rsidRPr="0042261B">
        <w:rPr>
          <w:rFonts w:ascii="Times New Roman" w:hAnsi="Times New Roman" w:cs="Times New Roman"/>
          <w:b/>
          <w:bCs/>
          <w:i/>
          <w:iCs/>
          <w:sz w:val="24"/>
          <w:szCs w:val="24"/>
          <w:lang w:val="lt-LT"/>
        </w:rPr>
        <w:t>tik</w:t>
      </w:r>
      <w:r w:rsidR="008B0943" w:rsidRPr="0042261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B0943" w:rsidRPr="0042261B">
        <w:rPr>
          <w:rFonts w:ascii="Times New Roman" w:hAnsi="Times New Roman" w:cs="Times New Roman"/>
          <w:b/>
          <w:bCs/>
          <w:i/>
          <w:iCs/>
          <w:sz w:val="24"/>
          <w:szCs w:val="24"/>
          <w:lang w:val="lt-LT"/>
        </w:rPr>
        <w:t xml:space="preserve">nematerialaus pobūdžio </w:t>
      </w:r>
      <w:r w:rsidR="008B0943" w:rsidRPr="0042261B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(intelektinė) ar kitokia </w:t>
      </w:r>
      <w:r w:rsidR="008B0943" w:rsidRPr="0042261B">
        <w:rPr>
          <w:rFonts w:ascii="Times New Roman" w:hAnsi="Times New Roman" w:cs="Times New Roman"/>
          <w:b/>
          <w:bCs/>
          <w:i/>
          <w:iCs/>
          <w:sz w:val="24"/>
          <w:szCs w:val="24"/>
          <w:lang w:val="lt-LT"/>
        </w:rPr>
        <w:t>paslauga</w:t>
      </w:r>
      <w:r w:rsidR="008B0943" w:rsidRPr="0042261B">
        <w:rPr>
          <w:rFonts w:ascii="Times New Roman" w:hAnsi="Times New Roman" w:cs="Times New Roman"/>
          <w:i/>
          <w:iCs/>
          <w:sz w:val="24"/>
          <w:szCs w:val="24"/>
          <w:lang w:val="lt-LT"/>
        </w:rPr>
        <w:t>, nesusijusi su materialaus objekto</w:t>
      </w:r>
      <w:r w:rsidR="008B0943" w:rsidRPr="0042261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B0943" w:rsidRPr="0042261B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sukūrimu, </w:t>
      </w:r>
      <w:r w:rsidR="008B0943" w:rsidRPr="0042261B">
        <w:rPr>
          <w:rFonts w:ascii="Times New Roman" w:hAnsi="Times New Roman" w:cs="Times New Roman"/>
          <w:b/>
          <w:bCs/>
          <w:i/>
          <w:iCs/>
          <w:sz w:val="24"/>
          <w:szCs w:val="24"/>
          <w:lang w:val="lt-LT"/>
        </w:rPr>
        <w:t>kurios teikimo metu nėra numatomas reikšmingas neigiamas poveikis aplinkai,</w:t>
      </w:r>
      <w:r w:rsidR="008B0943" w:rsidRPr="0042261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B0943" w:rsidRPr="0042261B">
        <w:rPr>
          <w:rFonts w:ascii="Times New Roman" w:hAnsi="Times New Roman" w:cs="Times New Roman"/>
          <w:b/>
          <w:bCs/>
          <w:i/>
          <w:iCs/>
          <w:sz w:val="24"/>
          <w:szCs w:val="24"/>
          <w:lang w:val="lt-LT"/>
        </w:rPr>
        <w:t>nesukuriamas taršos šaltinis ir negeneruojamos atliekos</w:t>
      </w:r>
      <w:r w:rsidR="008B0943" w:rsidRPr="0042261B">
        <w:rPr>
          <w:rFonts w:ascii="Times New Roman" w:hAnsi="Times New Roman" w:cs="Times New Roman"/>
          <w:i/>
          <w:iCs/>
          <w:sz w:val="24"/>
          <w:szCs w:val="24"/>
          <w:lang w:val="lt-LT"/>
        </w:rPr>
        <w:t>“.</w:t>
      </w:r>
    </w:p>
    <w:p w14:paraId="5C9905D1" w14:textId="77777777" w:rsidR="006A057A" w:rsidRPr="00B96A4D" w:rsidRDefault="006A057A" w:rsidP="0042261B">
      <w:pPr>
        <w:numPr>
          <w:ilvl w:val="0"/>
          <w:numId w:val="5"/>
        </w:numPr>
        <w:pBdr>
          <w:top w:val="single" w:sz="4" w:space="1" w:color="auto"/>
          <w:bottom w:val="single" w:sz="4" w:space="1" w:color="auto"/>
        </w:pBd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lt-LT"/>
          <w14:ligatures w14:val="none"/>
        </w:rPr>
      </w:pPr>
      <w:r w:rsidRPr="00B96A4D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lt-LT"/>
          <w14:ligatures w14:val="none"/>
        </w:rPr>
        <w:t>NACIONALINIO SAUGUMO REIKALAVIMAI</w:t>
      </w:r>
    </w:p>
    <w:p w14:paraId="0B6B71CB" w14:textId="4AB2DFF0" w:rsidR="00B076D1" w:rsidRPr="0016535B" w:rsidRDefault="00181DD6" w:rsidP="0016535B">
      <w:pPr>
        <w:pStyle w:val="ListParagraph"/>
        <w:numPr>
          <w:ilvl w:val="1"/>
          <w:numId w:val="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lt-LT"/>
          <w14:ligatures w14:val="none"/>
        </w:rPr>
      </w:pPr>
      <w:r w:rsidRPr="0042261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Pirkimo objektas </w:t>
      </w:r>
      <w:r w:rsidRPr="0042261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apima</w:t>
      </w:r>
      <w:r w:rsidRPr="0042261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Lietuvos Respublikos viešųjų pirkimų įstatymo 92 straipsnio 13 dalyje numatytame sąraše nurodytų BVPŽ kodų paslaugas, todėl </w:t>
      </w:r>
      <w:r w:rsidR="00BF0520" w:rsidRPr="00864AE6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T</w:t>
      </w:r>
      <w:r w:rsidRPr="0042261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iekėjo siūlomos Paslaugos neturi kelti grėsmės nacionaliniam saugumui</w:t>
      </w:r>
      <w:r w:rsidRPr="0042261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1E1830A8" w14:textId="77777777" w:rsidR="006A057A" w:rsidRPr="00864AE6" w:rsidRDefault="006A057A" w:rsidP="0042261B">
      <w:pPr>
        <w:pBdr>
          <w:top w:val="single" w:sz="4" w:space="1" w:color="auto"/>
        </w:pBdr>
        <w:shd w:val="clear" w:color="auto" w:fill="DEEAF6"/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lt-LT"/>
          <w14:ligatures w14:val="none"/>
        </w:rPr>
      </w:pPr>
      <w:r w:rsidRPr="00864AE6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lt-LT"/>
          <w14:ligatures w14:val="none"/>
        </w:rPr>
        <w:t>II DALIS. SUTARTINIŲ ĮSIPAREIGOJIMŲ VYKDYMAS</w:t>
      </w:r>
    </w:p>
    <w:p w14:paraId="210F620B" w14:textId="77777777" w:rsidR="006A057A" w:rsidRPr="00864AE6" w:rsidRDefault="006A057A" w:rsidP="0042261B">
      <w:pPr>
        <w:numPr>
          <w:ilvl w:val="0"/>
          <w:numId w:val="5"/>
        </w:numPr>
        <w:pBdr>
          <w:top w:val="single" w:sz="4" w:space="1" w:color="auto"/>
          <w:bottom w:val="single" w:sz="4" w:space="1" w:color="auto"/>
        </w:pBdr>
        <w:tabs>
          <w:tab w:val="left" w:pos="567"/>
          <w:tab w:val="left" w:pos="709"/>
        </w:tabs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lt-LT"/>
          <w14:ligatures w14:val="none"/>
        </w:rPr>
      </w:pPr>
      <w:r w:rsidRPr="00864AE6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lt-LT"/>
          <w14:ligatures w14:val="none"/>
        </w:rPr>
        <w:t xml:space="preserve">PASLAUGŲ TEIKIMO VIETA </w:t>
      </w:r>
    </w:p>
    <w:p w14:paraId="2687B8B9" w14:textId="1C5DD4CA" w:rsidR="00D87619" w:rsidRPr="00CE7A40" w:rsidRDefault="000C76A2" w:rsidP="00D87619">
      <w:pPr>
        <w:pStyle w:val="ListParagraph"/>
        <w:numPr>
          <w:ilvl w:val="1"/>
          <w:numId w:val="5"/>
        </w:numPr>
        <w:tabs>
          <w:tab w:val="left" w:pos="142"/>
          <w:tab w:val="left" w:pos="709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val="lt-LT"/>
          <w14:ligatures w14:val="none"/>
        </w:rPr>
      </w:pPr>
      <w:r w:rsidRPr="0042261B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 xml:space="preserve">Liepkalnio g. 97A, </w:t>
      </w:r>
      <w:r w:rsidR="00945747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>02121</w:t>
      </w:r>
      <w:r w:rsidRPr="0042261B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>Vilnius</w:t>
      </w:r>
      <w:r w:rsidR="00056AEA">
        <w:rPr>
          <w:rFonts w:ascii="Times New Roman" w:eastAsia="Calibri" w:hAnsi="Times New Roman" w:cs="Times New Roman"/>
          <w:kern w:val="0"/>
          <w:sz w:val="24"/>
          <w:szCs w:val="24"/>
          <w:lang w:val="lt-LT"/>
          <w14:ligatures w14:val="none"/>
        </w:rPr>
        <w:t>.</w:t>
      </w:r>
      <w:r w:rsidR="006A057A" w:rsidRPr="00CE7A40"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val="lt-LT"/>
          <w14:ligatures w14:val="none"/>
        </w:rPr>
        <w:t xml:space="preserve"> </w:t>
      </w:r>
    </w:p>
    <w:p w14:paraId="45F4F54C" w14:textId="77777777" w:rsidR="006A057A" w:rsidRPr="00864AE6" w:rsidRDefault="006A057A" w:rsidP="0042261B">
      <w:pPr>
        <w:numPr>
          <w:ilvl w:val="0"/>
          <w:numId w:val="5"/>
        </w:numPr>
        <w:pBdr>
          <w:top w:val="single" w:sz="4" w:space="1" w:color="auto"/>
          <w:bottom w:val="single" w:sz="4" w:space="1" w:color="auto"/>
        </w:pBdr>
        <w:tabs>
          <w:tab w:val="left" w:pos="567"/>
          <w:tab w:val="left" w:pos="709"/>
        </w:tabs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lt-LT"/>
          <w14:ligatures w14:val="none"/>
        </w:rPr>
      </w:pPr>
      <w:r w:rsidRPr="00864AE6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lt-LT"/>
          <w14:ligatures w14:val="none"/>
        </w:rPr>
        <w:t>PASLAUGŲ TEIKIMO TERMINAI IR TVARKA</w:t>
      </w:r>
    </w:p>
    <w:p w14:paraId="0C925C03" w14:textId="1347A465" w:rsidR="00D77FC6" w:rsidRPr="00864AE6" w:rsidRDefault="005B292F" w:rsidP="0042261B">
      <w:pPr>
        <w:numPr>
          <w:ilvl w:val="1"/>
          <w:numId w:val="9"/>
        </w:numPr>
        <w:tabs>
          <w:tab w:val="left" w:pos="284"/>
          <w:tab w:val="left" w:pos="567"/>
          <w:tab w:val="left" w:pos="709"/>
        </w:tabs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lt-LT"/>
          <w14:ligatures w14:val="none"/>
        </w:rPr>
      </w:pPr>
      <w:r w:rsidRPr="00864AE6">
        <w:rPr>
          <w:rFonts w:ascii="Times New Roman" w:eastAsia="Times New Roman" w:hAnsi="Times New Roman" w:cs="Times New Roman"/>
          <w:kern w:val="0"/>
          <w:sz w:val="24"/>
          <w:szCs w:val="24"/>
          <w:lang w:val="lt-LT"/>
          <w14:ligatures w14:val="none"/>
        </w:rPr>
        <w:t>P</w:t>
      </w:r>
      <w:r w:rsidR="00645D07" w:rsidRPr="00864AE6">
        <w:rPr>
          <w:rFonts w:ascii="Times New Roman" w:eastAsia="Times New Roman" w:hAnsi="Times New Roman" w:cs="Times New Roman"/>
          <w:kern w:val="0"/>
          <w:sz w:val="24"/>
          <w:szCs w:val="24"/>
          <w:lang w:val="lt-LT"/>
          <w14:ligatures w14:val="none"/>
        </w:rPr>
        <w:t xml:space="preserve">aslaugos turi būti pradėtos teikti įsigaliojus Sutarčiai, bet ne vėliau kaip per 5 (penkias) </w:t>
      </w:r>
      <w:r w:rsidR="00BB1097">
        <w:rPr>
          <w:rFonts w:ascii="Times New Roman" w:eastAsia="Times New Roman" w:hAnsi="Times New Roman" w:cs="Times New Roman"/>
          <w:kern w:val="0"/>
          <w:sz w:val="24"/>
          <w:szCs w:val="24"/>
          <w:lang w:val="lt-LT"/>
          <w14:ligatures w14:val="none"/>
        </w:rPr>
        <w:t>darbo</w:t>
      </w:r>
      <w:r w:rsidR="00BB1097" w:rsidRPr="00864AE6">
        <w:rPr>
          <w:rFonts w:ascii="Times New Roman" w:eastAsia="Times New Roman" w:hAnsi="Times New Roman" w:cs="Times New Roman"/>
          <w:kern w:val="0"/>
          <w:sz w:val="24"/>
          <w:szCs w:val="24"/>
          <w:lang w:val="lt-LT"/>
          <w14:ligatures w14:val="none"/>
        </w:rPr>
        <w:t xml:space="preserve"> </w:t>
      </w:r>
      <w:r w:rsidR="00645D07" w:rsidRPr="00864AE6">
        <w:rPr>
          <w:rFonts w:ascii="Times New Roman" w:eastAsia="Times New Roman" w:hAnsi="Times New Roman" w:cs="Times New Roman"/>
          <w:kern w:val="0"/>
          <w:sz w:val="24"/>
          <w:szCs w:val="24"/>
          <w:lang w:val="lt-LT"/>
          <w14:ligatures w14:val="none"/>
        </w:rPr>
        <w:t>dienas</w:t>
      </w:r>
      <w:r w:rsidR="00E81EF3" w:rsidRPr="00864AE6">
        <w:rPr>
          <w:rFonts w:ascii="Times New Roman" w:eastAsia="Times New Roman" w:hAnsi="Times New Roman" w:cs="Times New Roman"/>
          <w:kern w:val="0"/>
          <w:sz w:val="24"/>
          <w:szCs w:val="24"/>
          <w:lang w:val="lt-LT"/>
          <w14:ligatures w14:val="none"/>
        </w:rPr>
        <w:t xml:space="preserve"> nuo Sutarties įsigaliojimo</w:t>
      </w:r>
      <w:r w:rsidR="00C9302E" w:rsidRPr="00864AE6">
        <w:rPr>
          <w:rFonts w:ascii="Times New Roman" w:eastAsia="Times New Roman" w:hAnsi="Times New Roman" w:cs="Times New Roman"/>
          <w:kern w:val="0"/>
          <w:sz w:val="24"/>
          <w:szCs w:val="24"/>
          <w:lang w:val="lt-LT"/>
          <w14:ligatures w14:val="none"/>
        </w:rPr>
        <w:t>.</w:t>
      </w:r>
    </w:p>
    <w:p w14:paraId="32BE4AC8" w14:textId="5FC69F15" w:rsidR="00D87619" w:rsidRPr="00204ECE" w:rsidRDefault="008323F1" w:rsidP="00204ECE">
      <w:pPr>
        <w:pStyle w:val="ListParagraph"/>
        <w:numPr>
          <w:ilvl w:val="1"/>
          <w:numId w:val="9"/>
        </w:numPr>
        <w:tabs>
          <w:tab w:val="left" w:pos="709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lt-LT"/>
          <w14:ligatures w14:val="none"/>
        </w:rPr>
      </w:pPr>
      <w:r w:rsidRPr="0042261B">
        <w:rPr>
          <w:rFonts w:ascii="Times New Roman" w:eastAsia="Segoe UI" w:hAnsi="Times New Roman" w:cs="Times New Roman"/>
          <w:bCs/>
          <w:sz w:val="24"/>
          <w:szCs w:val="24"/>
          <w:lang w:val="lt-LT"/>
        </w:rPr>
        <w:t>Apie</w:t>
      </w:r>
      <w:r w:rsidR="00730ABC" w:rsidRPr="0042261B">
        <w:rPr>
          <w:rFonts w:ascii="Times New Roman" w:eastAsia="Segoe UI" w:hAnsi="Times New Roman" w:cs="Times New Roman"/>
          <w:bCs/>
          <w:sz w:val="24"/>
          <w:szCs w:val="24"/>
          <w:lang w:val="lt-LT"/>
        </w:rPr>
        <w:t xml:space="preserve"> </w:t>
      </w:r>
      <w:r w:rsidR="003F2B1E" w:rsidRPr="0042261B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Paslaugų teikimo laikotarpio </w:t>
      </w:r>
      <w:r w:rsidR="00730ABC" w:rsidRPr="00B17CC3">
        <w:rPr>
          <w:rFonts w:ascii="Times New Roman" w:eastAsia="Segoe UI" w:hAnsi="Times New Roman" w:cs="Times New Roman"/>
          <w:bCs/>
          <w:sz w:val="24"/>
          <w:szCs w:val="24"/>
          <w:lang w:val="lt-LT"/>
        </w:rPr>
        <w:t xml:space="preserve">pratęsimo aktyvavimą </w:t>
      </w:r>
      <w:r w:rsidRPr="00B17CC3">
        <w:rPr>
          <w:rFonts w:ascii="Times New Roman" w:eastAsia="Segoe UI" w:hAnsi="Times New Roman" w:cs="Times New Roman"/>
          <w:bCs/>
          <w:sz w:val="24"/>
          <w:szCs w:val="24"/>
          <w:lang w:val="lt-LT"/>
        </w:rPr>
        <w:t xml:space="preserve">Perkančiajai organizacijai </w:t>
      </w:r>
      <w:r w:rsidR="00ED5E09" w:rsidRPr="00B17CC3">
        <w:rPr>
          <w:rFonts w:ascii="Times New Roman" w:eastAsia="Segoe UI" w:hAnsi="Times New Roman" w:cs="Times New Roman"/>
          <w:bCs/>
          <w:sz w:val="24"/>
          <w:szCs w:val="24"/>
          <w:lang w:val="lt-LT"/>
        </w:rPr>
        <w:t xml:space="preserve">pranešama </w:t>
      </w:r>
      <w:r w:rsidR="003354E2" w:rsidRPr="00B17CC3">
        <w:rPr>
          <w:rFonts w:ascii="Times New Roman" w:eastAsia="Segoe UI" w:hAnsi="Times New Roman" w:cs="Times New Roman"/>
          <w:bCs/>
          <w:sz w:val="24"/>
          <w:szCs w:val="24"/>
          <w:lang w:val="lt-LT"/>
        </w:rPr>
        <w:t xml:space="preserve">atsiunčiant elektroninį laišką adresu </w:t>
      </w:r>
      <w:hyperlink r:id="rId11" w:history="1">
        <w:r w:rsidR="003354E2" w:rsidRPr="0035495D">
          <w:rPr>
            <w:rStyle w:val="Hyperlink"/>
            <w:rFonts w:ascii="Times New Roman" w:eastAsia="Segoe UI" w:hAnsi="Times New Roman" w:cs="Times New Roman"/>
            <w:color w:val="0000FF"/>
            <w:sz w:val="24"/>
            <w:szCs w:val="24"/>
            <w:lang w:val="lt-LT"/>
          </w:rPr>
          <w:t>iti@regitra.lt</w:t>
        </w:r>
      </w:hyperlink>
      <w:r w:rsidR="003354E2" w:rsidRPr="0042261B">
        <w:rPr>
          <w:rFonts w:ascii="Times New Roman" w:eastAsia="Times New Roman" w:hAnsi="Times New Roman" w:cs="Times New Roman"/>
          <w:kern w:val="0"/>
          <w:sz w:val="24"/>
          <w:szCs w:val="24"/>
          <w:lang w:val="lt-LT"/>
          <w14:ligatures w14:val="none"/>
        </w:rPr>
        <w:t xml:space="preserve"> </w:t>
      </w:r>
      <w:r w:rsidRPr="0042261B">
        <w:rPr>
          <w:rFonts w:ascii="Times New Roman" w:eastAsia="Segoe UI" w:hAnsi="Times New Roman" w:cs="Times New Roman"/>
          <w:bCs/>
          <w:sz w:val="24"/>
          <w:szCs w:val="24"/>
          <w:lang w:val="lt-LT"/>
        </w:rPr>
        <w:t xml:space="preserve">ne vėliau kaip per 5 </w:t>
      </w:r>
      <w:r w:rsidR="00ED5E09" w:rsidRPr="0042261B">
        <w:rPr>
          <w:rFonts w:ascii="Times New Roman" w:eastAsia="Segoe UI" w:hAnsi="Times New Roman" w:cs="Times New Roman"/>
          <w:bCs/>
          <w:sz w:val="24"/>
          <w:szCs w:val="24"/>
          <w:lang w:val="lt-LT"/>
        </w:rPr>
        <w:t xml:space="preserve">(penkias) </w:t>
      </w:r>
      <w:r w:rsidRPr="0042261B">
        <w:rPr>
          <w:rFonts w:ascii="Times New Roman" w:eastAsia="Segoe UI" w:hAnsi="Times New Roman" w:cs="Times New Roman"/>
          <w:bCs/>
          <w:sz w:val="24"/>
          <w:szCs w:val="24"/>
          <w:lang w:val="lt-LT"/>
        </w:rPr>
        <w:t>d</w:t>
      </w:r>
      <w:r w:rsidR="00ED5E09" w:rsidRPr="0042261B">
        <w:rPr>
          <w:rFonts w:ascii="Times New Roman" w:eastAsia="Segoe UI" w:hAnsi="Times New Roman" w:cs="Times New Roman"/>
          <w:bCs/>
          <w:sz w:val="24"/>
          <w:szCs w:val="24"/>
          <w:lang w:val="lt-LT"/>
        </w:rPr>
        <w:t>arbo</w:t>
      </w:r>
      <w:r w:rsidRPr="0042261B">
        <w:rPr>
          <w:rFonts w:ascii="Times New Roman" w:eastAsia="Segoe UI" w:hAnsi="Times New Roman" w:cs="Times New Roman"/>
          <w:bCs/>
          <w:sz w:val="24"/>
          <w:szCs w:val="24"/>
          <w:lang w:val="lt-LT"/>
        </w:rPr>
        <w:t xml:space="preserve"> d</w:t>
      </w:r>
      <w:r w:rsidR="00ED5E09" w:rsidRPr="0042261B">
        <w:rPr>
          <w:rFonts w:ascii="Times New Roman" w:eastAsia="Segoe UI" w:hAnsi="Times New Roman" w:cs="Times New Roman"/>
          <w:bCs/>
          <w:sz w:val="24"/>
          <w:szCs w:val="24"/>
          <w:lang w:val="lt-LT"/>
        </w:rPr>
        <w:t>ienas</w:t>
      </w:r>
      <w:r w:rsidRPr="0042261B">
        <w:rPr>
          <w:rFonts w:ascii="Times New Roman" w:eastAsia="Segoe UI" w:hAnsi="Times New Roman" w:cs="Times New Roman"/>
          <w:bCs/>
          <w:sz w:val="24"/>
          <w:szCs w:val="24"/>
          <w:lang w:val="lt-LT"/>
        </w:rPr>
        <w:t xml:space="preserve"> nuo </w:t>
      </w:r>
      <w:r w:rsidR="00992F5B" w:rsidRPr="0042261B">
        <w:rPr>
          <w:rFonts w:ascii="Times New Roman" w:eastAsia="Segoe UI" w:hAnsi="Times New Roman" w:cs="Times New Roman"/>
          <w:bCs/>
          <w:sz w:val="24"/>
          <w:szCs w:val="24"/>
          <w:lang w:val="lt-LT"/>
        </w:rPr>
        <w:lastRenderedPageBreak/>
        <w:t>S</w:t>
      </w:r>
      <w:r w:rsidRPr="0042261B">
        <w:rPr>
          <w:rFonts w:ascii="Times New Roman" w:eastAsia="Segoe UI" w:hAnsi="Times New Roman" w:cs="Times New Roman"/>
          <w:bCs/>
          <w:sz w:val="24"/>
          <w:szCs w:val="24"/>
          <w:lang w:val="lt-LT"/>
        </w:rPr>
        <w:t>utarties įsigaliojimo dienos</w:t>
      </w:r>
      <w:r w:rsidR="00204ECE">
        <w:rPr>
          <w:rFonts w:ascii="Times New Roman" w:eastAsia="Segoe UI" w:hAnsi="Times New Roman" w:cs="Times New Roman"/>
          <w:bCs/>
          <w:sz w:val="24"/>
          <w:szCs w:val="24"/>
          <w:lang w:val="lt-LT"/>
        </w:rPr>
        <w:t xml:space="preserve"> (I Paslaugų teikimo laikotarpio atveju). </w:t>
      </w:r>
      <w:r w:rsidR="00204ECE">
        <w:rPr>
          <w:rFonts w:ascii="Times New Roman" w:eastAsia="Times New Roman" w:hAnsi="Times New Roman" w:cs="Times New Roman"/>
          <w:kern w:val="0"/>
          <w:sz w:val="24"/>
          <w:szCs w:val="24"/>
          <w:lang w:val="lt-LT"/>
          <w14:ligatures w14:val="none"/>
        </w:rPr>
        <w:t>Pranešimas apie II Paslaugų teikimo laikotarpio aktyvavimą turi būti pateikiamas ne vėliau kaip per 5 (penkias) darbo dienas nuo nepertraukiamo aktyvavimo dienos, t. y. ne vėliau kaip paskutinę I Paslaugų teikimo laikotarpio dieną.</w:t>
      </w:r>
    </w:p>
    <w:p w14:paraId="7AC916C0" w14:textId="516461F2" w:rsidR="006A057A" w:rsidRPr="00864AE6" w:rsidRDefault="006A057A" w:rsidP="0042261B">
      <w:pPr>
        <w:pStyle w:val="ListParagraph"/>
        <w:numPr>
          <w:ilvl w:val="0"/>
          <w:numId w:val="14"/>
        </w:numPr>
        <w:pBdr>
          <w:top w:val="single" w:sz="4" w:space="1" w:color="auto"/>
          <w:bottom w:val="single" w:sz="4" w:space="1" w:color="auto"/>
        </w:pBdr>
        <w:tabs>
          <w:tab w:val="left" w:pos="284"/>
          <w:tab w:val="left" w:pos="709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lt-LT"/>
          <w14:ligatures w14:val="none"/>
        </w:rPr>
      </w:pPr>
      <w:r w:rsidRPr="00864AE6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lt-LT"/>
          <w14:ligatures w14:val="none"/>
        </w:rPr>
        <w:t>TRŪKUMŲ ŠALINIMO TVARKA</w:t>
      </w:r>
    </w:p>
    <w:p w14:paraId="1477A53E" w14:textId="13EADE62" w:rsidR="006A057A" w:rsidRPr="0042261B" w:rsidRDefault="00435C7A" w:rsidP="0042261B">
      <w:pPr>
        <w:pStyle w:val="ListParagraph"/>
        <w:numPr>
          <w:ilvl w:val="1"/>
          <w:numId w:val="14"/>
        </w:numPr>
        <w:tabs>
          <w:tab w:val="left" w:pos="284"/>
          <w:tab w:val="left" w:pos="709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val="lt-LT"/>
        </w:rPr>
      </w:pPr>
      <w:r w:rsidRPr="0042261B">
        <w:rPr>
          <w:rFonts w:ascii="Times New Roman" w:hAnsi="Times New Roman" w:cs="Times New Roman"/>
          <w:sz w:val="24"/>
          <w:szCs w:val="24"/>
          <w:lang w:val="lt-LT"/>
        </w:rPr>
        <w:t>Tiekėjas privalo padėti Perkančiajai organizacijai išspręsti gamintojo aptarnavimo centre</w:t>
      </w:r>
      <w:r w:rsidR="00864AE6" w:rsidRPr="00864AE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B96A4D">
        <w:rPr>
          <w:rFonts w:ascii="Times New Roman" w:hAnsi="Times New Roman" w:cs="Times New Roman"/>
          <w:sz w:val="24"/>
          <w:szCs w:val="24"/>
          <w:lang w:val="lt-LT"/>
        </w:rPr>
        <w:t>užregistruotą problemą / incidentą, jei gamintojas per 5 (penkias) darbo dienas jos neišsprendė. Tiekėjas po raštiško Perkančiosios organizacijos pranešimo per 9 (devynias) darbo dienas turi padėti Perkančiajai organizacijai pašalinti Paslaugų teikimo trūkumus</w:t>
      </w:r>
      <w:r w:rsidRPr="0042261B">
        <w:rPr>
          <w:rFonts w:ascii="Times New Roman" w:hAnsi="Times New Roman" w:cs="Times New Roman"/>
          <w:sz w:val="24"/>
          <w:szCs w:val="24"/>
          <w:lang w:val="lt-LT"/>
        </w:rPr>
        <w:t>.</w:t>
      </w:r>
    </w:p>
    <w:sectPr w:rsidR="006A057A" w:rsidRPr="0042261B" w:rsidSect="00455B79">
      <w:pgSz w:w="12240" w:h="15840"/>
      <w:pgMar w:top="1134" w:right="61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E8DC4" w14:textId="77777777" w:rsidR="00E156B4" w:rsidRDefault="00E156B4" w:rsidP="006A057A">
      <w:pPr>
        <w:spacing w:after="0" w:line="240" w:lineRule="auto"/>
      </w:pPr>
      <w:r>
        <w:separator/>
      </w:r>
    </w:p>
  </w:endnote>
  <w:endnote w:type="continuationSeparator" w:id="0">
    <w:p w14:paraId="31A11DBC" w14:textId="77777777" w:rsidR="00E156B4" w:rsidRDefault="00E156B4" w:rsidP="006A057A">
      <w:pPr>
        <w:spacing w:after="0" w:line="240" w:lineRule="auto"/>
      </w:pPr>
      <w:r>
        <w:continuationSeparator/>
      </w:r>
    </w:p>
  </w:endnote>
  <w:endnote w:type="continuationNotice" w:id="1">
    <w:p w14:paraId="18BE11D1" w14:textId="77777777" w:rsidR="00E156B4" w:rsidRDefault="00E156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3CE171" w14:textId="77777777" w:rsidR="00E156B4" w:rsidRDefault="00E156B4" w:rsidP="006A057A">
      <w:pPr>
        <w:spacing w:after="0" w:line="240" w:lineRule="auto"/>
      </w:pPr>
      <w:r>
        <w:separator/>
      </w:r>
    </w:p>
  </w:footnote>
  <w:footnote w:type="continuationSeparator" w:id="0">
    <w:p w14:paraId="3007060F" w14:textId="77777777" w:rsidR="00E156B4" w:rsidRDefault="00E156B4" w:rsidP="006A057A">
      <w:pPr>
        <w:spacing w:after="0" w:line="240" w:lineRule="auto"/>
      </w:pPr>
      <w:r>
        <w:continuationSeparator/>
      </w:r>
    </w:p>
  </w:footnote>
  <w:footnote w:type="continuationNotice" w:id="1">
    <w:p w14:paraId="07C69267" w14:textId="77777777" w:rsidR="00E156B4" w:rsidRDefault="00E156B4">
      <w:pPr>
        <w:spacing w:after="0" w:line="240" w:lineRule="auto"/>
      </w:pPr>
    </w:p>
  </w:footnote>
  <w:footnote w:id="2">
    <w:p w14:paraId="48E5DBED" w14:textId="00536F5D" w:rsidR="00C9284E" w:rsidRPr="00C9284E" w:rsidRDefault="00C9284E" w:rsidP="00C9284E">
      <w:pPr>
        <w:pStyle w:val="FootnoteText"/>
        <w:jc w:val="both"/>
        <w:rPr>
          <w:rFonts w:ascii="Times New Roman" w:hAnsi="Times New Roman" w:cs="Times New Roman"/>
          <w:kern w:val="0"/>
          <w:lang w:val="lt-LT"/>
          <w14:ligatures w14:val="none"/>
        </w:rPr>
      </w:pPr>
      <w:r w:rsidRPr="0042261B">
        <w:rPr>
          <w:rStyle w:val="FootnoteReference"/>
          <w:rFonts w:ascii="Times New Roman" w:hAnsi="Times New Roman" w:cs="Times New Roman"/>
          <w:sz w:val="22"/>
          <w:szCs w:val="22"/>
        </w:rPr>
        <w:footnoteRef/>
      </w:r>
      <w:r w:rsidRPr="0042261B">
        <w:rPr>
          <w:rFonts w:ascii="Times New Roman" w:hAnsi="Times New Roman" w:cs="Times New Roman"/>
          <w:sz w:val="22"/>
          <w:szCs w:val="22"/>
        </w:rPr>
        <w:t xml:space="preserve"> </w:t>
      </w:r>
      <w:r w:rsidRPr="00C9284E">
        <w:rPr>
          <w:rFonts w:ascii="Times New Roman" w:hAnsi="Times New Roman" w:cs="Times New Roman"/>
          <w:kern w:val="0"/>
          <w:lang w:val="lt-LT"/>
          <w14:ligatures w14:val="none"/>
        </w:rPr>
        <w:t xml:space="preserve">Patvirtinto Lietuvos Respublikos aplinkos ministro 2011 m. birželio 28 d. įsakymu Nr. D1-508 „Dėl Aplinkos apsaugos kriterijų taikymo, vykdant žaliuosius pirkimus, tvarkos aprašo patvirtinimo“ </w:t>
      </w:r>
    </w:p>
    <w:p w14:paraId="3532E2F9" w14:textId="77777777" w:rsidR="00C9284E" w:rsidRPr="00C9284E" w:rsidRDefault="00C9284E" w:rsidP="00C9284E">
      <w:pPr>
        <w:spacing w:after="0" w:line="240" w:lineRule="auto"/>
        <w:jc w:val="both"/>
        <w:rPr>
          <w:rFonts w:ascii="Times New Roman" w:hAnsi="Times New Roman" w:cs="Times New Roman"/>
          <w:kern w:val="0"/>
          <w:sz w:val="20"/>
          <w:szCs w:val="20"/>
          <w:lang w:val="lt-LT"/>
          <w14:ligatures w14:val="none"/>
        </w:rPr>
      </w:pPr>
      <w:r w:rsidRPr="00C9284E">
        <w:rPr>
          <w:rFonts w:ascii="Times New Roman" w:hAnsi="Times New Roman" w:cs="Times New Roman"/>
          <w:kern w:val="0"/>
          <w:sz w:val="20"/>
          <w:szCs w:val="20"/>
          <w:lang w:val="lt-LT"/>
          <w14:ligatures w14:val="none"/>
        </w:rPr>
        <w:t xml:space="preserve">(nuoroda internete: </w:t>
      </w:r>
      <w:hyperlink r:id="rId1" w:history="1">
        <w:r w:rsidRPr="00C9284E">
          <w:rPr>
            <w:rFonts w:ascii="Times New Roman" w:hAnsi="Times New Roman" w:cs="Times New Roman"/>
            <w:color w:val="0000FF"/>
            <w:kern w:val="0"/>
            <w:sz w:val="20"/>
            <w:szCs w:val="20"/>
            <w:u w:val="single"/>
            <w:lang w:val="lt-LT"/>
            <w14:ligatures w14:val="none"/>
          </w:rPr>
          <w:t>https://www.e-tar.lt/portal/lt/legalAct/TAR.4B60A8C9678B/asr</w:t>
        </w:r>
      </w:hyperlink>
      <w:r w:rsidRPr="00C9284E">
        <w:rPr>
          <w:rFonts w:ascii="Times New Roman" w:hAnsi="Times New Roman" w:cs="Times New Roman"/>
          <w:kern w:val="0"/>
          <w:sz w:val="20"/>
          <w:szCs w:val="20"/>
          <w:lang w:val="lt-LT"/>
          <w14:ligatures w14:val="none"/>
        </w:rPr>
        <w:t>).</w:t>
      </w:r>
    </w:p>
    <w:p w14:paraId="0CC13EBA" w14:textId="7C3A360E" w:rsidR="00C9284E" w:rsidRPr="0042261B" w:rsidRDefault="00C9284E">
      <w:pPr>
        <w:pStyle w:val="FootnoteText"/>
        <w:rPr>
          <w:rFonts w:ascii="Times New Roman" w:hAnsi="Times New Roman" w:cs="Times New Roman"/>
          <w:sz w:val="22"/>
          <w:szCs w:val="22"/>
          <w:lang w:val="lt-LT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5F2EFC"/>
    <w:multiLevelType w:val="multilevel"/>
    <w:tmpl w:val="202C9D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2DC10F2"/>
    <w:multiLevelType w:val="multilevel"/>
    <w:tmpl w:val="AC860C20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" w15:restartNumberingAfterBreak="0">
    <w:nsid w:val="29351765"/>
    <w:multiLevelType w:val="multilevel"/>
    <w:tmpl w:val="EA5A2AE6"/>
    <w:lvl w:ilvl="0">
      <w:start w:val="10"/>
      <w:numFmt w:val="decimal"/>
      <w:lvlText w:val="%1."/>
      <w:lvlJc w:val="left"/>
      <w:pPr>
        <w:ind w:left="480" w:hanging="480"/>
      </w:pPr>
      <w:rPr>
        <w:rFonts w:cs="Times New Roman" w:hint="default"/>
        <w:i w:val="0"/>
        <w:iCs/>
        <w:color w:val="auto"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cs="Times New Roman" w:hint="default"/>
        <w:i w:val="0"/>
        <w:iCs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i/>
        <w:color w:val="4472C4" w:themeColor="accen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i/>
        <w:color w:val="4472C4" w:themeColor="accen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i/>
        <w:color w:val="4472C4" w:themeColor="accen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i/>
        <w:color w:val="4472C4" w:themeColor="accen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i/>
        <w:color w:val="4472C4" w:themeColor="accen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i/>
        <w:color w:val="4472C4" w:themeColor="accen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i/>
        <w:color w:val="4472C4" w:themeColor="accent1"/>
      </w:rPr>
    </w:lvl>
  </w:abstractNum>
  <w:abstractNum w:abstractNumId="3" w15:restartNumberingAfterBreak="0">
    <w:nsid w:val="30223A5C"/>
    <w:multiLevelType w:val="multilevel"/>
    <w:tmpl w:val="9744B59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0805BEB"/>
    <w:multiLevelType w:val="multilevel"/>
    <w:tmpl w:val="B6045C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 w:themeColor="text1"/>
      </w:rPr>
    </w:lvl>
  </w:abstractNum>
  <w:abstractNum w:abstractNumId="5" w15:restartNumberingAfterBreak="0">
    <w:nsid w:val="33C964D2"/>
    <w:multiLevelType w:val="multilevel"/>
    <w:tmpl w:val="166C901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i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B9D3333"/>
    <w:multiLevelType w:val="multilevel"/>
    <w:tmpl w:val="6644AC34"/>
    <w:lvl w:ilvl="0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7BD64A9"/>
    <w:multiLevelType w:val="hybridMultilevel"/>
    <w:tmpl w:val="EB50DFAE"/>
    <w:lvl w:ilvl="0" w:tplc="0D84FB0A">
      <w:start w:val="1"/>
      <w:numFmt w:val="decimal"/>
      <w:lvlText w:val="3.%1"/>
      <w:lvlJc w:val="left"/>
      <w:pPr>
        <w:ind w:left="171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4ACE7BCF"/>
    <w:multiLevelType w:val="multilevel"/>
    <w:tmpl w:val="202C9D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0AF0EDC"/>
    <w:multiLevelType w:val="multilevel"/>
    <w:tmpl w:val="5C88664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53A4D07"/>
    <w:multiLevelType w:val="multilevel"/>
    <w:tmpl w:val="202C9D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D3E5C11"/>
    <w:multiLevelType w:val="multilevel"/>
    <w:tmpl w:val="30766E8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D681CE1"/>
    <w:multiLevelType w:val="multilevel"/>
    <w:tmpl w:val="B846FE6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ADB1C9B"/>
    <w:multiLevelType w:val="hybridMultilevel"/>
    <w:tmpl w:val="D390B206"/>
    <w:lvl w:ilvl="0" w:tplc="34061D84">
      <w:start w:val="20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A4652"/>
    <w:multiLevelType w:val="multilevel"/>
    <w:tmpl w:val="A9E05F94"/>
    <w:lvl w:ilvl="0">
      <w:start w:val="10"/>
      <w:numFmt w:val="decimal"/>
      <w:lvlText w:val="%1."/>
      <w:lvlJc w:val="left"/>
      <w:pPr>
        <w:ind w:left="480" w:hanging="480"/>
      </w:pPr>
      <w:rPr>
        <w:rFonts w:cs="Times New Roman" w:hint="default"/>
        <w:i w:val="0"/>
        <w:iCs/>
        <w:color w:val="auto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cs="Times New Roman" w:hint="default"/>
        <w:i w:val="0"/>
        <w:iCs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i/>
        <w:color w:val="4472C4" w:themeColor="accen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i/>
        <w:color w:val="4472C4" w:themeColor="accen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i/>
        <w:color w:val="4472C4" w:themeColor="accen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i/>
        <w:color w:val="4472C4" w:themeColor="accen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i/>
        <w:color w:val="4472C4" w:themeColor="accen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i/>
        <w:color w:val="4472C4" w:themeColor="accen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i/>
        <w:color w:val="4472C4" w:themeColor="accent1"/>
      </w:rPr>
    </w:lvl>
  </w:abstractNum>
  <w:abstractNum w:abstractNumId="15" w15:restartNumberingAfterBreak="0">
    <w:nsid w:val="7A3D4A9F"/>
    <w:multiLevelType w:val="multilevel"/>
    <w:tmpl w:val="F214775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  <w:iCs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D480DAA"/>
    <w:multiLevelType w:val="hybridMultilevel"/>
    <w:tmpl w:val="7BF2782A"/>
    <w:lvl w:ilvl="0" w:tplc="04270001">
      <w:start w:val="202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488499">
    <w:abstractNumId w:val="8"/>
  </w:num>
  <w:num w:numId="2" w16cid:durableId="1005982610">
    <w:abstractNumId w:val="4"/>
  </w:num>
  <w:num w:numId="3" w16cid:durableId="1304235237">
    <w:abstractNumId w:val="0"/>
  </w:num>
  <w:num w:numId="4" w16cid:durableId="1137258265">
    <w:abstractNumId w:val="1"/>
  </w:num>
  <w:num w:numId="5" w16cid:durableId="2016346196">
    <w:abstractNumId w:val="5"/>
  </w:num>
  <w:num w:numId="6" w16cid:durableId="930352580">
    <w:abstractNumId w:val="7"/>
  </w:num>
  <w:num w:numId="7" w16cid:durableId="603994821">
    <w:abstractNumId w:val="10"/>
  </w:num>
  <w:num w:numId="8" w16cid:durableId="1640918086">
    <w:abstractNumId w:val="12"/>
  </w:num>
  <w:num w:numId="9" w16cid:durableId="102768553">
    <w:abstractNumId w:val="9"/>
  </w:num>
  <w:num w:numId="10" w16cid:durableId="1894924903">
    <w:abstractNumId w:val="15"/>
  </w:num>
  <w:num w:numId="11" w16cid:durableId="1204831015">
    <w:abstractNumId w:val="3"/>
  </w:num>
  <w:num w:numId="12" w16cid:durableId="1900625399">
    <w:abstractNumId w:val="14"/>
  </w:num>
  <w:num w:numId="13" w16cid:durableId="1030648652">
    <w:abstractNumId w:val="11"/>
  </w:num>
  <w:num w:numId="14" w16cid:durableId="1366518635">
    <w:abstractNumId w:val="2"/>
  </w:num>
  <w:num w:numId="15" w16cid:durableId="1510370057">
    <w:abstractNumId w:val="6"/>
  </w:num>
  <w:num w:numId="16" w16cid:durableId="286282634">
    <w:abstractNumId w:val="13"/>
  </w:num>
  <w:num w:numId="17" w16cid:durableId="173469961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57A"/>
    <w:rsid w:val="00024C7A"/>
    <w:rsid w:val="00036E98"/>
    <w:rsid w:val="000467FF"/>
    <w:rsid w:val="00055FF4"/>
    <w:rsid w:val="00056AEA"/>
    <w:rsid w:val="000726B0"/>
    <w:rsid w:val="00074444"/>
    <w:rsid w:val="000765C9"/>
    <w:rsid w:val="00077B56"/>
    <w:rsid w:val="00084A60"/>
    <w:rsid w:val="00097256"/>
    <w:rsid w:val="00097325"/>
    <w:rsid w:val="000B38E5"/>
    <w:rsid w:val="000C1FEA"/>
    <w:rsid w:val="000C2981"/>
    <w:rsid w:val="000C76A2"/>
    <w:rsid w:val="000D0777"/>
    <w:rsid w:val="000F2C64"/>
    <w:rsid w:val="000F3E74"/>
    <w:rsid w:val="000F44B9"/>
    <w:rsid w:val="00145DE3"/>
    <w:rsid w:val="00151748"/>
    <w:rsid w:val="00157AF8"/>
    <w:rsid w:val="00162815"/>
    <w:rsid w:val="0016535B"/>
    <w:rsid w:val="00181DD6"/>
    <w:rsid w:val="001842CE"/>
    <w:rsid w:val="00187D5A"/>
    <w:rsid w:val="001913A7"/>
    <w:rsid w:val="001A74A2"/>
    <w:rsid w:val="001A7BD2"/>
    <w:rsid w:val="001D5AC6"/>
    <w:rsid w:val="001E4927"/>
    <w:rsid w:val="00200E60"/>
    <w:rsid w:val="002012DB"/>
    <w:rsid w:val="00204ECE"/>
    <w:rsid w:val="00205DA6"/>
    <w:rsid w:val="00237BBF"/>
    <w:rsid w:val="002401EB"/>
    <w:rsid w:val="00243757"/>
    <w:rsid w:val="002467FA"/>
    <w:rsid w:val="002A379A"/>
    <w:rsid w:val="002F2B1B"/>
    <w:rsid w:val="003077E9"/>
    <w:rsid w:val="00330515"/>
    <w:rsid w:val="00331DE4"/>
    <w:rsid w:val="003354E2"/>
    <w:rsid w:val="00346C0E"/>
    <w:rsid w:val="0035495D"/>
    <w:rsid w:val="00372012"/>
    <w:rsid w:val="00386BB3"/>
    <w:rsid w:val="00392C5B"/>
    <w:rsid w:val="003A706B"/>
    <w:rsid w:val="003B1430"/>
    <w:rsid w:val="003C60BD"/>
    <w:rsid w:val="003E2381"/>
    <w:rsid w:val="003E5276"/>
    <w:rsid w:val="003F2B1E"/>
    <w:rsid w:val="003F6AB5"/>
    <w:rsid w:val="0042261B"/>
    <w:rsid w:val="00435C7A"/>
    <w:rsid w:val="004439FC"/>
    <w:rsid w:val="00447F33"/>
    <w:rsid w:val="00455B79"/>
    <w:rsid w:val="0046146A"/>
    <w:rsid w:val="00465768"/>
    <w:rsid w:val="00466DBF"/>
    <w:rsid w:val="00474D14"/>
    <w:rsid w:val="004754CF"/>
    <w:rsid w:val="004966D8"/>
    <w:rsid w:val="004A4920"/>
    <w:rsid w:val="004C170B"/>
    <w:rsid w:val="004C77BC"/>
    <w:rsid w:val="004E1EA8"/>
    <w:rsid w:val="004F36DA"/>
    <w:rsid w:val="00501951"/>
    <w:rsid w:val="00546048"/>
    <w:rsid w:val="00565E2A"/>
    <w:rsid w:val="00593F6C"/>
    <w:rsid w:val="005B292F"/>
    <w:rsid w:val="005C5D6A"/>
    <w:rsid w:val="005D0C46"/>
    <w:rsid w:val="005E1C05"/>
    <w:rsid w:val="005E5581"/>
    <w:rsid w:val="005F1BBF"/>
    <w:rsid w:val="005F461D"/>
    <w:rsid w:val="00612FC7"/>
    <w:rsid w:val="006153CC"/>
    <w:rsid w:val="00637298"/>
    <w:rsid w:val="00645D07"/>
    <w:rsid w:val="00670F76"/>
    <w:rsid w:val="00672463"/>
    <w:rsid w:val="00675F55"/>
    <w:rsid w:val="006A057A"/>
    <w:rsid w:val="006A6299"/>
    <w:rsid w:val="006A70F0"/>
    <w:rsid w:val="006B743F"/>
    <w:rsid w:val="006C603D"/>
    <w:rsid w:val="006D0BDE"/>
    <w:rsid w:val="006D426F"/>
    <w:rsid w:val="006E06E9"/>
    <w:rsid w:val="006E61D6"/>
    <w:rsid w:val="0071631F"/>
    <w:rsid w:val="00730ABC"/>
    <w:rsid w:val="00732963"/>
    <w:rsid w:val="00740A91"/>
    <w:rsid w:val="007515E3"/>
    <w:rsid w:val="007700C7"/>
    <w:rsid w:val="007917AB"/>
    <w:rsid w:val="00794E99"/>
    <w:rsid w:val="007A008E"/>
    <w:rsid w:val="007A2427"/>
    <w:rsid w:val="007A5C6A"/>
    <w:rsid w:val="007B39FD"/>
    <w:rsid w:val="007C5327"/>
    <w:rsid w:val="007D70C5"/>
    <w:rsid w:val="007F4DFE"/>
    <w:rsid w:val="00806349"/>
    <w:rsid w:val="00813DBA"/>
    <w:rsid w:val="008248DD"/>
    <w:rsid w:val="008323F1"/>
    <w:rsid w:val="00860545"/>
    <w:rsid w:val="00864AE6"/>
    <w:rsid w:val="00870D7E"/>
    <w:rsid w:val="008A56B3"/>
    <w:rsid w:val="008B0943"/>
    <w:rsid w:val="008C40AA"/>
    <w:rsid w:val="008C678D"/>
    <w:rsid w:val="008F0221"/>
    <w:rsid w:val="008F0540"/>
    <w:rsid w:val="008F1FE9"/>
    <w:rsid w:val="008F24A2"/>
    <w:rsid w:val="00906133"/>
    <w:rsid w:val="00916643"/>
    <w:rsid w:val="009221FA"/>
    <w:rsid w:val="009309BF"/>
    <w:rsid w:val="00945747"/>
    <w:rsid w:val="0095107E"/>
    <w:rsid w:val="009562AB"/>
    <w:rsid w:val="009705A4"/>
    <w:rsid w:val="00984C38"/>
    <w:rsid w:val="00985D5B"/>
    <w:rsid w:val="00992F5B"/>
    <w:rsid w:val="00993BF8"/>
    <w:rsid w:val="009A79BE"/>
    <w:rsid w:val="009C13F0"/>
    <w:rsid w:val="009C5E0B"/>
    <w:rsid w:val="009E32D6"/>
    <w:rsid w:val="009F057B"/>
    <w:rsid w:val="009F1B73"/>
    <w:rsid w:val="00A00808"/>
    <w:rsid w:val="00A21A57"/>
    <w:rsid w:val="00A26268"/>
    <w:rsid w:val="00A56D90"/>
    <w:rsid w:val="00A64A75"/>
    <w:rsid w:val="00A71985"/>
    <w:rsid w:val="00A808F3"/>
    <w:rsid w:val="00AC64C1"/>
    <w:rsid w:val="00AD086E"/>
    <w:rsid w:val="00AD43C6"/>
    <w:rsid w:val="00AE0389"/>
    <w:rsid w:val="00AE238D"/>
    <w:rsid w:val="00AF11CD"/>
    <w:rsid w:val="00B076D1"/>
    <w:rsid w:val="00B13112"/>
    <w:rsid w:val="00B17CC3"/>
    <w:rsid w:val="00B25C95"/>
    <w:rsid w:val="00B363B7"/>
    <w:rsid w:val="00B62FA1"/>
    <w:rsid w:val="00B8180F"/>
    <w:rsid w:val="00B94224"/>
    <w:rsid w:val="00B96A4D"/>
    <w:rsid w:val="00BB1097"/>
    <w:rsid w:val="00BE66A0"/>
    <w:rsid w:val="00BF0520"/>
    <w:rsid w:val="00C50BD9"/>
    <w:rsid w:val="00C61459"/>
    <w:rsid w:val="00C64847"/>
    <w:rsid w:val="00C67CEF"/>
    <w:rsid w:val="00C77457"/>
    <w:rsid w:val="00C8218C"/>
    <w:rsid w:val="00C9284E"/>
    <w:rsid w:val="00C9302E"/>
    <w:rsid w:val="00CA474D"/>
    <w:rsid w:val="00CC0657"/>
    <w:rsid w:val="00CE3489"/>
    <w:rsid w:val="00CE5629"/>
    <w:rsid w:val="00CE7A40"/>
    <w:rsid w:val="00D123DE"/>
    <w:rsid w:val="00D44270"/>
    <w:rsid w:val="00D469B7"/>
    <w:rsid w:val="00D51BAD"/>
    <w:rsid w:val="00D74261"/>
    <w:rsid w:val="00D74AE7"/>
    <w:rsid w:val="00D77FC6"/>
    <w:rsid w:val="00D86887"/>
    <w:rsid w:val="00D87619"/>
    <w:rsid w:val="00D96601"/>
    <w:rsid w:val="00DA2784"/>
    <w:rsid w:val="00DC0256"/>
    <w:rsid w:val="00DD746C"/>
    <w:rsid w:val="00E06EE9"/>
    <w:rsid w:val="00E07167"/>
    <w:rsid w:val="00E156B4"/>
    <w:rsid w:val="00E265E5"/>
    <w:rsid w:val="00E770F5"/>
    <w:rsid w:val="00E81EF3"/>
    <w:rsid w:val="00E859F2"/>
    <w:rsid w:val="00E87943"/>
    <w:rsid w:val="00EB105F"/>
    <w:rsid w:val="00ED5E09"/>
    <w:rsid w:val="00EF60C3"/>
    <w:rsid w:val="00F11154"/>
    <w:rsid w:val="00F30FC2"/>
    <w:rsid w:val="00F363FE"/>
    <w:rsid w:val="00F44A18"/>
    <w:rsid w:val="00F6237E"/>
    <w:rsid w:val="00F76EB6"/>
    <w:rsid w:val="00F84E98"/>
    <w:rsid w:val="00F95675"/>
    <w:rsid w:val="00FB68A9"/>
    <w:rsid w:val="00FE235D"/>
    <w:rsid w:val="0CE84BD7"/>
    <w:rsid w:val="0EF25723"/>
    <w:rsid w:val="1D35B4AB"/>
    <w:rsid w:val="1E56D84B"/>
    <w:rsid w:val="526C8409"/>
    <w:rsid w:val="5DC1F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0E13C"/>
  <w15:chartTrackingRefBased/>
  <w15:docId w15:val="{1BDA9C60-BF09-439C-80A7-6356FA30C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05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05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05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05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05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05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05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05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05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05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05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05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057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057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05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05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05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05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A05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A05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05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A05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A05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A05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A05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A057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05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057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A057A"/>
    <w:rPr>
      <w:b/>
      <w:bCs/>
      <w:smallCaps/>
      <w:color w:val="2F5496" w:themeColor="accent1" w:themeShade="BF"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A05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A057A"/>
    <w:rPr>
      <w:sz w:val="20"/>
      <w:szCs w:val="20"/>
    </w:rPr>
  </w:style>
  <w:style w:type="character" w:styleId="Hyperlink">
    <w:name w:val="Hyperlink"/>
    <w:uiPriority w:val="99"/>
    <w:rsid w:val="006A057A"/>
    <w:rPr>
      <w:u w:val="single"/>
    </w:rPr>
  </w:style>
  <w:style w:type="character" w:styleId="FootnoteReference">
    <w:name w:val="footnote reference"/>
    <w:aliases w:val="fr"/>
    <w:basedOn w:val="DefaultParagraphFont"/>
    <w:uiPriority w:val="99"/>
    <w:unhideWhenUsed/>
    <w:rsid w:val="006A057A"/>
    <w:rPr>
      <w:vertAlign w:val="superscript"/>
    </w:rPr>
  </w:style>
  <w:style w:type="table" w:styleId="TableGrid">
    <w:name w:val="Table Grid"/>
    <w:basedOn w:val="TableNormal"/>
    <w:uiPriority w:val="39"/>
    <w:rsid w:val="006A057A"/>
    <w:pPr>
      <w:spacing w:after="0" w:line="240" w:lineRule="auto"/>
    </w:pPr>
    <w:rPr>
      <w:kern w:val="0"/>
      <w:lang w:val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68A9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68A9"/>
    <w:rPr>
      <w:rFonts w:ascii="Consolas" w:hAnsi="Consolas"/>
      <w:sz w:val="20"/>
      <w:szCs w:val="20"/>
    </w:rPr>
  </w:style>
  <w:style w:type="paragraph" w:styleId="Revision">
    <w:name w:val="Revision"/>
    <w:hidden/>
    <w:uiPriority w:val="99"/>
    <w:semiHidden/>
    <w:rsid w:val="00AD086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F3E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F3E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3E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3E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3E7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56D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6D90"/>
  </w:style>
  <w:style w:type="paragraph" w:styleId="Footer">
    <w:name w:val="footer"/>
    <w:basedOn w:val="Normal"/>
    <w:link w:val="FooterChar"/>
    <w:uiPriority w:val="99"/>
    <w:semiHidden/>
    <w:unhideWhenUsed/>
    <w:rsid w:val="00A56D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6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75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ti@regitra.l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-tar.lt/portal/lt/legalAct/TAR.4B60A8C9678B/as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C449A0D7B3EB47B88AF343C4D1CD95" ma:contentTypeVersion="4" ma:contentTypeDescription="Create a new document." ma:contentTypeScope="" ma:versionID="85abb42329cfe5a2aaec049fe9cf99d0">
  <xsd:schema xmlns:xsd="http://www.w3.org/2001/XMLSchema" xmlns:xs="http://www.w3.org/2001/XMLSchema" xmlns:p="http://schemas.microsoft.com/office/2006/metadata/properties" xmlns:ns2="ab5ff6b0-4b44-4aae-8be8-878cde4c3760" targetNamespace="http://schemas.microsoft.com/office/2006/metadata/properties" ma:root="true" ma:fieldsID="d5817eb412627b991459d20c4e00c213" ns2:_="">
    <xsd:import namespace="ab5ff6b0-4b44-4aae-8be8-878cde4c37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5ff6b0-4b44-4aae-8be8-878cde4c37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1D749F-A2D4-4D0D-B8A5-91CB706667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5ff6b0-4b44-4aae-8be8-878cde4c37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DDD5C4-6442-4114-951D-7D4D3A731F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9AC415-28A6-4215-B87C-3A5D5BEBF6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F933F7-00C7-430E-B924-4D3E3F627F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3854</Words>
  <Characters>2198</Characters>
  <Application>Microsoft Office Word</Application>
  <DocSecurity>0</DocSecurity>
  <Lines>18</Lines>
  <Paragraphs>12</Paragraphs>
  <ScaleCrop>false</ScaleCrop>
  <Company/>
  <LinksUpToDate>false</LinksUpToDate>
  <CharactersWithSpaces>6040</CharactersWithSpaces>
  <SharedDoc>false</SharedDoc>
  <HLinks>
    <vt:vector size="12" baseType="variant">
      <vt:variant>
        <vt:i4>917550</vt:i4>
      </vt:variant>
      <vt:variant>
        <vt:i4>0</vt:i4>
      </vt:variant>
      <vt:variant>
        <vt:i4>0</vt:i4>
      </vt:variant>
      <vt:variant>
        <vt:i4>5</vt:i4>
      </vt:variant>
      <vt:variant>
        <vt:lpwstr>mailto:iti@regitra.lt</vt:lpwstr>
      </vt:variant>
      <vt:variant>
        <vt:lpwstr/>
      </vt:variant>
      <vt:variant>
        <vt:i4>1507345</vt:i4>
      </vt:variant>
      <vt:variant>
        <vt:i4>0</vt:i4>
      </vt:variant>
      <vt:variant>
        <vt:i4>0</vt:i4>
      </vt:variant>
      <vt:variant>
        <vt:i4>5</vt:i4>
      </vt:variant>
      <vt:variant>
        <vt:lpwstr>https://www.e-tar.lt/portal/lt/legalAct/TAR.4B60A8C9678B/asr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Ramunė Kailiūnienė</dc:creator>
  <cp:keywords/>
  <dc:description/>
  <cp:lastModifiedBy>Laura Bučė</cp:lastModifiedBy>
  <cp:revision>4</cp:revision>
  <dcterms:created xsi:type="dcterms:W3CDTF">2024-11-13T10:11:00Z</dcterms:created>
  <dcterms:modified xsi:type="dcterms:W3CDTF">2024-11-25T08:58:00Z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0x01010092C449A0D7B3EB47B88AF343C4D1CD95</vt:lpwstr>
  </property>
</Properties>
</file>